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36F3B" w14:textId="77777777" w:rsidR="009F7766" w:rsidRDefault="009F7766" w:rsidP="004D30D6">
      <w:pPr>
        <w:sectPr w:rsidR="009F7766" w:rsidSect="002F54B6">
          <w:footerReference w:type="default" r:id="rId8"/>
          <w:footerReference w:type="first" r:id="rId9"/>
          <w:pgSz w:w="11909" w:h="16834" w:code="9"/>
          <w:pgMar w:top="1134" w:right="1134" w:bottom="1134" w:left="1134" w:header="284" w:footer="510" w:gutter="0"/>
          <w:cols w:space="720"/>
        </w:sectPr>
      </w:pPr>
      <w:bookmarkStart w:id="0" w:name="_GoBack"/>
      <w:bookmarkEnd w:id="0"/>
    </w:p>
    <w:p w14:paraId="654F2C6F" w14:textId="77777777" w:rsidR="00BB14A4" w:rsidRDefault="00BA7D4C" w:rsidP="00BA7D4C">
      <w:pPr>
        <w:pStyle w:val="Title"/>
      </w:pPr>
      <w:r>
        <w:t>Statement of Insolvency Practice 3.2</w:t>
      </w:r>
    </w:p>
    <w:p w14:paraId="29687DDC" w14:textId="62EFB775" w:rsidR="00BB14A4" w:rsidRDefault="00BB14A4" w:rsidP="00BA7D4C">
      <w:pPr>
        <w:pStyle w:val="Title"/>
      </w:pPr>
    </w:p>
    <w:p w14:paraId="28B12B1A" w14:textId="77777777" w:rsidR="00170447" w:rsidRDefault="005E5FAA" w:rsidP="00170447">
      <w:pPr>
        <w:pStyle w:val="Heading2"/>
      </w:pPr>
      <w:r w:rsidRPr="005E5FAA">
        <w:t>COMPANY VOLUNTARY ARRANGEMENTS</w:t>
      </w:r>
    </w:p>
    <w:p w14:paraId="2FCF578B" w14:textId="77777777" w:rsidR="00170447" w:rsidRDefault="00150637" w:rsidP="00633365">
      <w:pPr>
        <w:pStyle w:val="Heading3"/>
        <w:tabs>
          <w:tab w:val="left" w:pos="426"/>
        </w:tabs>
        <w:spacing w:before="120"/>
      </w:pPr>
      <w:r w:rsidRPr="00150637">
        <w:t>Introduction</w:t>
      </w:r>
    </w:p>
    <w:p w14:paraId="405E33D5" w14:textId="77777777" w:rsidR="00150637" w:rsidRDefault="005E5FAA" w:rsidP="005E5FAA">
      <w:pPr>
        <w:pStyle w:val="ListNumber"/>
        <w:tabs>
          <w:tab w:val="left" w:pos="426"/>
        </w:tabs>
        <w:spacing w:before="120" w:after="120"/>
        <w:ind w:left="426" w:hanging="426"/>
      </w:pPr>
      <w:r w:rsidRPr="005E5FAA">
        <w:t>A Company Voluntary Arrangement (CVA) is a statutory contract between a company and its creditors under which an insolvency practitioner will have powers and duties. An insolvency practitioner will be central to the preparation and agreement of the proposal, and the implementation of the arrangement, whether acting as adviser, nominee or supervisor. The particular nature of an insolvency practitioner’s position renders transparency and fairness in all dealings of primary importance. The company’s directors, shareholders and creditors should be confident that an insolvency practitioner will act professionally and with objectivity in each role associated with the arrangement. Failure to do so may prejudice the interests of both the company and creditors, and is likely to bring the practitioner and the profession into disrepute.</w:t>
      </w:r>
      <w:r w:rsidR="00150637">
        <w:t xml:space="preserve"> </w:t>
      </w:r>
    </w:p>
    <w:p w14:paraId="78F73F07" w14:textId="56C5B33D" w:rsidR="005E5FAA" w:rsidRDefault="005E5FAA" w:rsidP="00A66E8F">
      <w:pPr>
        <w:pStyle w:val="ListNumber"/>
        <w:tabs>
          <w:tab w:val="left" w:pos="426"/>
        </w:tabs>
        <w:spacing w:before="120" w:after="120"/>
        <w:ind w:left="426" w:hanging="426"/>
      </w:pPr>
      <w:r w:rsidRPr="005E5FAA">
        <w:t xml:space="preserve">An insolvency practitioner may be asked to assist a company’s directors when a CVA may be </w:t>
      </w:r>
      <w:r w:rsidR="00A66E8F">
        <w:t>a</w:t>
      </w:r>
      <w:r w:rsidR="00A66E8F" w:rsidRPr="005E5FAA">
        <w:t xml:space="preserve"> </w:t>
      </w:r>
      <w:r w:rsidRPr="005E5FAA">
        <w:t>solution to the company’s financial difficulties; or an insolvency practitioner may propose a CVA as administrator or liquidator. Where the principles and key compliance standards in this statement of insolvency practice are relevant only to a CVA proposed by a company’s directors these are identified as such.</w:t>
      </w:r>
    </w:p>
    <w:p w14:paraId="4039E8C7" w14:textId="77777777" w:rsidR="005435E4" w:rsidRDefault="005435E4" w:rsidP="005435E4">
      <w:pPr>
        <w:pStyle w:val="Heading3"/>
      </w:pPr>
      <w:r w:rsidRPr="00B2387A">
        <w:t>Principles</w:t>
      </w:r>
    </w:p>
    <w:p w14:paraId="08A3F03D" w14:textId="77777777" w:rsidR="005435E4" w:rsidRDefault="005E5FAA" w:rsidP="005E5FAA">
      <w:pPr>
        <w:pStyle w:val="ListNumber"/>
        <w:tabs>
          <w:tab w:val="left" w:pos="426"/>
        </w:tabs>
        <w:spacing w:before="120" w:after="120"/>
        <w:ind w:left="426" w:hanging="426"/>
      </w:pPr>
      <w:r w:rsidRPr="005E5FAA">
        <w:t xml:space="preserve">An insolvency practitioner should differentiate clearly between the stages and roles that are associated with a CVA (these being, the provision of initial advice, assisting in the preparation of the proposal, acting as the nominee, and acting as the supervisor) and ensure that they are explained to the company’s directors (where they are making the proposal), shareholders and creditors. </w:t>
      </w:r>
    </w:p>
    <w:p w14:paraId="144414C0" w14:textId="77777777" w:rsidR="005435E4" w:rsidRDefault="005E5FAA" w:rsidP="005E5FAA">
      <w:pPr>
        <w:pStyle w:val="ListNumber"/>
        <w:tabs>
          <w:tab w:val="left" w:pos="426"/>
        </w:tabs>
        <w:spacing w:before="120" w:after="120"/>
        <w:ind w:left="426" w:hanging="426"/>
      </w:pPr>
      <w:r w:rsidRPr="005E5FAA">
        <w:t>(</w:t>
      </w:r>
      <w:r w:rsidRPr="005E5FAA">
        <w:rPr>
          <w:i/>
        </w:rPr>
        <w:t>Directors’ proposal</w:t>
      </w:r>
      <w:r w:rsidRPr="005E5FAA">
        <w:t>) An insolvency practitioner should ensure that information and explanations about all the options available are provided to the directors, so that they can make an informed judgement as to whether a CVA is an appropriate solution for the company.</w:t>
      </w:r>
    </w:p>
    <w:p w14:paraId="12DCD342" w14:textId="5A8032C3" w:rsidR="005435E4" w:rsidRDefault="005E5FAA" w:rsidP="00F0334F">
      <w:pPr>
        <w:pStyle w:val="ListNumber"/>
        <w:tabs>
          <w:tab w:val="left" w:pos="426"/>
        </w:tabs>
        <w:spacing w:before="120" w:after="120"/>
        <w:ind w:left="426" w:hanging="426"/>
      </w:pPr>
      <w:r w:rsidRPr="005E5FAA">
        <w:t xml:space="preserve">An insolvency practitioner should explain to the directors, </w:t>
      </w:r>
      <w:r w:rsidR="00F0334F" w:rsidRPr="005E5FAA">
        <w:t>the</w:t>
      </w:r>
      <w:r w:rsidR="00F0334F">
        <w:t xml:space="preserve"> directors’</w:t>
      </w:r>
      <w:r w:rsidR="00F0334F" w:rsidRPr="005E5FAA">
        <w:t xml:space="preserve"> </w:t>
      </w:r>
      <w:r w:rsidRPr="005E5FAA">
        <w:t>responsibilities</w:t>
      </w:r>
      <w:r w:rsidR="00A66E8F">
        <w:t xml:space="preserve"> </w:t>
      </w:r>
      <w:r w:rsidRPr="005E5FAA">
        <w:t>and role</w:t>
      </w:r>
      <w:r w:rsidR="00A66E8F" w:rsidRPr="00A66E8F">
        <w:t xml:space="preserve"> </w:t>
      </w:r>
      <w:r w:rsidR="00A66E8F">
        <w:t>before and during the CVA</w:t>
      </w:r>
      <w:r w:rsidRPr="005E5FAA">
        <w:t>, and the consequences of a CVA.</w:t>
      </w:r>
    </w:p>
    <w:p w14:paraId="3CA145B9" w14:textId="77777777" w:rsidR="005435E4" w:rsidRDefault="005E5FAA" w:rsidP="005E5FAA">
      <w:pPr>
        <w:pStyle w:val="ListNumber"/>
        <w:tabs>
          <w:tab w:val="left" w:pos="426"/>
        </w:tabs>
        <w:spacing w:before="120" w:after="120"/>
        <w:ind w:left="426" w:hanging="426"/>
      </w:pPr>
      <w:r w:rsidRPr="005E5FAA">
        <w:t>Where a CVA is to be proposed, an insolvency practitioner should be satisfied that it is achievable and that a fair balance is struck between the interests of the company and the creditors.</w:t>
      </w:r>
    </w:p>
    <w:p w14:paraId="11FC8D45" w14:textId="77777777" w:rsidR="00150637" w:rsidRDefault="005E5FAA" w:rsidP="005E5FAA">
      <w:pPr>
        <w:pStyle w:val="ListNumber"/>
        <w:tabs>
          <w:tab w:val="left" w:pos="426"/>
        </w:tabs>
        <w:spacing w:before="120" w:after="120"/>
        <w:ind w:left="426" w:hanging="426"/>
      </w:pPr>
      <w:r w:rsidRPr="005E5FAA">
        <w:t>An insolvency practitioner’s reports should provide sufficient information to enable the company’s shareholders and creditors to make informed decisions in relation to the proposal and the CVA, and report accurately in a manner that aims to be clear and useful.</w:t>
      </w:r>
    </w:p>
    <w:p w14:paraId="20C45959" w14:textId="77777777" w:rsidR="00BB14A4" w:rsidRDefault="00036DB0" w:rsidP="00BA7D4C">
      <w:pPr>
        <w:pStyle w:val="Heading3"/>
        <w:keepNext/>
      </w:pPr>
      <w:r w:rsidRPr="00B2387A">
        <w:lastRenderedPageBreak/>
        <w:t>Key compliance standards</w:t>
      </w:r>
    </w:p>
    <w:p w14:paraId="27A47789" w14:textId="77777777" w:rsidR="00036DB0" w:rsidRPr="00A5131B" w:rsidRDefault="00A65BA6" w:rsidP="00A65BA6">
      <w:pPr>
        <w:pStyle w:val="ListNumber"/>
        <w:tabs>
          <w:tab w:val="left" w:pos="426"/>
        </w:tabs>
        <w:spacing w:before="120" w:after="120"/>
        <w:ind w:left="426" w:hanging="426"/>
      </w:pPr>
      <w:r w:rsidRPr="00A65BA6">
        <w:t>Certain key compliance standards are of general application, but others will</w:t>
      </w:r>
      <w:r w:rsidRPr="00A65BA6">
        <w:rPr>
          <w:i/>
        </w:rPr>
        <w:t xml:space="preserve"> </w:t>
      </w:r>
      <w:r w:rsidRPr="00A65BA6">
        <w:t>depend on whether the insolvency practitioner is acting as adviser, nominee, supervisor, administrator or liquidator</w:t>
      </w:r>
      <w:r w:rsidRPr="00A65BA6">
        <w:rPr>
          <w:i/>
        </w:rPr>
        <w:t>.</w:t>
      </w:r>
    </w:p>
    <w:p w14:paraId="6B8A9231" w14:textId="77777777" w:rsidR="00036DB0" w:rsidRDefault="00036DB0" w:rsidP="00036DB0">
      <w:pPr>
        <w:pStyle w:val="Heading3"/>
      </w:pPr>
      <w:r>
        <w:t>Standard</w:t>
      </w:r>
      <w:r w:rsidRPr="00B2387A">
        <w:t>s of general application</w:t>
      </w:r>
    </w:p>
    <w:p w14:paraId="3E175052" w14:textId="77777777" w:rsidR="004F24B4" w:rsidRPr="004F24B4" w:rsidRDefault="00A65BA6" w:rsidP="00A65BA6">
      <w:pPr>
        <w:pStyle w:val="Heading4"/>
      </w:pPr>
      <w:r w:rsidRPr="00394457">
        <w:t>Advice (directors’ proposal)</w:t>
      </w:r>
    </w:p>
    <w:p w14:paraId="1F7130A2" w14:textId="77777777" w:rsidR="00036DB0" w:rsidRDefault="00A65BA6" w:rsidP="00A65BA6">
      <w:pPr>
        <w:pStyle w:val="ListNumber"/>
        <w:tabs>
          <w:tab w:val="left" w:pos="426"/>
        </w:tabs>
        <w:spacing w:before="120" w:after="120"/>
        <w:ind w:left="426" w:hanging="426"/>
      </w:pPr>
      <w:r w:rsidRPr="00A65BA6">
        <w:t>The insolvency practitioner should have procedures in place to ensure that the information and explanations provided to the company and/or the directors at each stage of the process, as appropriate (that is, assessing the options available, and then preparing and implementing a CVA), are designed to set out clearly:</w:t>
      </w:r>
    </w:p>
    <w:p w14:paraId="54637E55" w14:textId="77777777" w:rsidR="00A65BA6" w:rsidRDefault="00A65BA6" w:rsidP="001F6EAB">
      <w:pPr>
        <w:pStyle w:val="ListNumber2"/>
        <w:numPr>
          <w:ilvl w:val="1"/>
          <w:numId w:val="43"/>
        </w:numPr>
        <w:tabs>
          <w:tab w:val="left" w:pos="426"/>
        </w:tabs>
        <w:spacing w:before="120" w:after="120"/>
      </w:pPr>
      <w:r>
        <w:t>the advantages and disadvantages of each available option;</w:t>
      </w:r>
    </w:p>
    <w:p w14:paraId="08501B43" w14:textId="77777777" w:rsidR="008D2F2A" w:rsidRDefault="00A65BA6" w:rsidP="001F6EAB">
      <w:pPr>
        <w:pStyle w:val="ListNumber2"/>
        <w:numPr>
          <w:ilvl w:val="1"/>
          <w:numId w:val="43"/>
        </w:numPr>
        <w:tabs>
          <w:tab w:val="left" w:pos="426"/>
        </w:tabs>
        <w:spacing w:before="120" w:after="120"/>
      </w:pPr>
      <w:r>
        <w:t xml:space="preserve">the key stages and the roles of the adviser, the nominee and the supervisor; </w:t>
      </w:r>
    </w:p>
    <w:p w14:paraId="5B2B5A58" w14:textId="2935C879" w:rsidR="00AD0834" w:rsidRDefault="00AD0834" w:rsidP="001F6EAB">
      <w:pPr>
        <w:pStyle w:val="ListNumber2"/>
        <w:numPr>
          <w:ilvl w:val="1"/>
          <w:numId w:val="43"/>
        </w:numPr>
        <w:tabs>
          <w:tab w:val="left" w:pos="426"/>
        </w:tabs>
        <w:spacing w:before="120" w:after="120"/>
      </w:pPr>
      <w:r>
        <w:t>whether the company will require additional specialist assistance which will not be provided by any supervisor appointed;</w:t>
      </w:r>
    </w:p>
    <w:p w14:paraId="07F267A9" w14:textId="04328195" w:rsidR="00A65BA6" w:rsidRDefault="00A65BA6" w:rsidP="001F6EAB">
      <w:pPr>
        <w:pStyle w:val="ListNumber2"/>
        <w:numPr>
          <w:ilvl w:val="1"/>
          <w:numId w:val="43"/>
        </w:numPr>
        <w:tabs>
          <w:tab w:val="left" w:pos="426"/>
        </w:tabs>
        <w:spacing w:before="120" w:after="120"/>
      </w:pPr>
      <w:r>
        <w:t>any potential delays or complications; and the likely duration of the CVA;</w:t>
      </w:r>
    </w:p>
    <w:p w14:paraId="797F7DA1" w14:textId="77777777" w:rsidR="00A65BA6" w:rsidRDefault="00A65BA6" w:rsidP="001F6EAB">
      <w:pPr>
        <w:pStyle w:val="ListNumber2"/>
        <w:numPr>
          <w:ilvl w:val="1"/>
          <w:numId w:val="43"/>
        </w:numPr>
        <w:tabs>
          <w:tab w:val="left" w:pos="426"/>
        </w:tabs>
        <w:spacing w:before="120" w:after="120"/>
      </w:pPr>
      <w:r>
        <w:t xml:space="preserve">what is required of the company and its directors; </w:t>
      </w:r>
    </w:p>
    <w:p w14:paraId="2B039562" w14:textId="77777777" w:rsidR="00A65BA6" w:rsidRDefault="00A65BA6" w:rsidP="001F6EAB">
      <w:pPr>
        <w:pStyle w:val="ListNumber2"/>
        <w:numPr>
          <w:ilvl w:val="1"/>
          <w:numId w:val="43"/>
        </w:numPr>
        <w:tabs>
          <w:tab w:val="left" w:pos="426"/>
        </w:tabs>
        <w:spacing w:before="120" w:after="120"/>
      </w:pPr>
      <w:r>
        <w:t xml:space="preserve">the consequences of proposing and entering into a CVA, including the rights of challenge to the CVA and the potential consequences of those challenges; and </w:t>
      </w:r>
    </w:p>
    <w:p w14:paraId="438688DF" w14:textId="77777777" w:rsidR="00A65BA6" w:rsidRDefault="00A65BA6" w:rsidP="001F6EAB">
      <w:pPr>
        <w:pStyle w:val="ListNumber2"/>
        <w:numPr>
          <w:ilvl w:val="1"/>
          <w:numId w:val="43"/>
        </w:numPr>
        <w:tabs>
          <w:tab w:val="left" w:pos="426"/>
        </w:tabs>
        <w:spacing w:before="120" w:after="120"/>
      </w:pPr>
      <w:r>
        <w:t>what may happen if the CVA is not approved or not successfully completed.</w:t>
      </w:r>
    </w:p>
    <w:p w14:paraId="1B3DBCAA" w14:textId="77777777" w:rsidR="00036DB0" w:rsidRDefault="00A65BA6" w:rsidP="00A65BA6">
      <w:pPr>
        <w:pStyle w:val="Heading4"/>
      </w:pPr>
      <w:r w:rsidRPr="00394457">
        <w:t>Meeting the directors (directors’ proposal)</w:t>
      </w:r>
    </w:p>
    <w:p w14:paraId="2A7B7D95" w14:textId="77777777" w:rsidR="00036DB0" w:rsidRDefault="00A65BA6" w:rsidP="00A65BA6">
      <w:pPr>
        <w:pStyle w:val="ListNumber"/>
        <w:tabs>
          <w:tab w:val="left" w:pos="426"/>
        </w:tabs>
        <w:spacing w:before="120" w:after="120"/>
        <w:ind w:left="426" w:hanging="426"/>
      </w:pPr>
      <w:r w:rsidRPr="00A65BA6">
        <w:t>In view of the complex nature of CVAs the initial meeting with the directors should always be face to face.</w:t>
      </w:r>
    </w:p>
    <w:p w14:paraId="5E8D7CF7" w14:textId="77777777" w:rsidR="00036DB0" w:rsidRDefault="00036DB0" w:rsidP="00036DB0">
      <w:pPr>
        <w:pStyle w:val="Heading4"/>
      </w:pPr>
      <w:r w:rsidRPr="00755566">
        <w:t>Assessment</w:t>
      </w:r>
    </w:p>
    <w:p w14:paraId="750006A4" w14:textId="77777777" w:rsidR="00036DB0" w:rsidRPr="00036DB0" w:rsidRDefault="00A65BA6" w:rsidP="00A65BA6">
      <w:pPr>
        <w:pStyle w:val="ListNumber"/>
        <w:tabs>
          <w:tab w:val="left" w:pos="426"/>
        </w:tabs>
        <w:spacing w:before="120" w:after="120"/>
        <w:ind w:left="426" w:hanging="426"/>
      </w:pPr>
      <w:r w:rsidRPr="00A65BA6">
        <w:t>The insolvency practitioner needs to be satisfied, at each stage of the process, that there are procedures in place to ensure that an assessment is made of:</w:t>
      </w:r>
    </w:p>
    <w:p w14:paraId="1D0BA589" w14:textId="77777777" w:rsidR="00A65BA6" w:rsidRDefault="00A65BA6" w:rsidP="001F6EAB">
      <w:pPr>
        <w:pStyle w:val="ListNumber2"/>
        <w:numPr>
          <w:ilvl w:val="1"/>
          <w:numId w:val="42"/>
        </w:numPr>
        <w:tabs>
          <w:tab w:val="left" w:pos="426"/>
        </w:tabs>
        <w:spacing w:before="120" w:after="120"/>
      </w:pPr>
      <w:r>
        <w:t>the solutions available and their viability;</w:t>
      </w:r>
    </w:p>
    <w:p w14:paraId="62DA383B" w14:textId="77777777" w:rsidR="00A65BA6" w:rsidRDefault="00A65BA6" w:rsidP="001F6EAB">
      <w:pPr>
        <w:pStyle w:val="ListNumber2"/>
        <w:numPr>
          <w:ilvl w:val="1"/>
          <w:numId w:val="42"/>
        </w:numPr>
        <w:tabs>
          <w:tab w:val="left" w:pos="426"/>
        </w:tabs>
        <w:spacing w:before="120" w:after="120"/>
      </w:pPr>
      <w:r w:rsidRPr="001F6EAB">
        <w:rPr>
          <w:i/>
          <w:iCs/>
        </w:rPr>
        <w:t>(Directors’ proposal)</w:t>
      </w:r>
      <w:r>
        <w:t xml:space="preserve"> whether the directors are being sufficiently cooperative;</w:t>
      </w:r>
    </w:p>
    <w:p w14:paraId="68AC29DD" w14:textId="77777777" w:rsidR="00A65BA6" w:rsidRDefault="00A65BA6" w:rsidP="001F6EAB">
      <w:pPr>
        <w:pStyle w:val="ListNumber2"/>
        <w:numPr>
          <w:ilvl w:val="1"/>
          <w:numId w:val="42"/>
        </w:numPr>
        <w:tabs>
          <w:tab w:val="left" w:pos="426"/>
        </w:tabs>
        <w:spacing w:before="120" w:after="120"/>
      </w:pPr>
      <w:r>
        <w:t>where the directors’ compliance is required for the implementation of the CVA, the directors’ understanding of the process, and commitment to it;</w:t>
      </w:r>
    </w:p>
    <w:p w14:paraId="2FCEFBD9" w14:textId="77777777" w:rsidR="00A65BA6" w:rsidRDefault="00A65BA6" w:rsidP="001F6EAB">
      <w:pPr>
        <w:pStyle w:val="ListNumber2"/>
        <w:numPr>
          <w:ilvl w:val="1"/>
          <w:numId w:val="42"/>
        </w:numPr>
        <w:tabs>
          <w:tab w:val="left" w:pos="426"/>
        </w:tabs>
        <w:spacing w:before="120" w:after="120"/>
      </w:pPr>
      <w:r>
        <w:t>the likely attitude of any key creditors and the general body of creditors, in particular as to the fairness and balance of the proposals;</w:t>
      </w:r>
    </w:p>
    <w:p w14:paraId="32A07146" w14:textId="77777777" w:rsidR="00A65BA6" w:rsidRDefault="00A65BA6" w:rsidP="001F6EAB">
      <w:pPr>
        <w:pStyle w:val="ListNumber2"/>
        <w:numPr>
          <w:ilvl w:val="1"/>
          <w:numId w:val="42"/>
        </w:numPr>
        <w:tabs>
          <w:tab w:val="left" w:pos="426"/>
        </w:tabs>
        <w:spacing w:before="120" w:after="120"/>
      </w:pPr>
      <w:r>
        <w:t xml:space="preserve">whether a CVA would have a reasonable prospect of being approved and implemented; and </w:t>
      </w:r>
    </w:p>
    <w:p w14:paraId="5026622C" w14:textId="77777777" w:rsidR="00A65BA6" w:rsidRDefault="00A65BA6" w:rsidP="001F6EAB">
      <w:pPr>
        <w:pStyle w:val="ListNumber2"/>
        <w:numPr>
          <w:ilvl w:val="1"/>
          <w:numId w:val="42"/>
        </w:numPr>
        <w:tabs>
          <w:tab w:val="left" w:pos="426"/>
        </w:tabs>
        <w:spacing w:before="120" w:after="120"/>
      </w:pPr>
      <w:r>
        <w:t>whether a moratorium is required or available</w:t>
      </w:r>
      <w:r w:rsidR="008B3906">
        <w:t>.</w:t>
      </w:r>
    </w:p>
    <w:p w14:paraId="6B91005B" w14:textId="77777777" w:rsidR="00036DB0" w:rsidRDefault="00036DB0" w:rsidP="00036DB0">
      <w:pPr>
        <w:pStyle w:val="Heading4"/>
      </w:pPr>
      <w:r w:rsidRPr="00755566">
        <w:t>Documentation</w:t>
      </w:r>
    </w:p>
    <w:p w14:paraId="34C7A31D" w14:textId="77777777" w:rsidR="00036DB0" w:rsidRPr="00036DB0" w:rsidRDefault="00A65BA6" w:rsidP="00A65BA6">
      <w:pPr>
        <w:pStyle w:val="ListNumber"/>
        <w:tabs>
          <w:tab w:val="left" w:pos="426"/>
        </w:tabs>
        <w:spacing w:before="120" w:after="120"/>
        <w:ind w:left="426" w:hanging="426"/>
      </w:pPr>
      <w:r w:rsidRPr="00A65BA6">
        <w:t>The insolvency practitioner should be able to demonstrate that proper steps have been taken at all stages of the CVA, by maintaining records of:</w:t>
      </w:r>
    </w:p>
    <w:p w14:paraId="637CDE4B" w14:textId="42E78FAF" w:rsidR="00AD0834" w:rsidRDefault="00730B5A" w:rsidP="001F6EAB">
      <w:pPr>
        <w:pStyle w:val="ListNumber2"/>
        <w:numPr>
          <w:ilvl w:val="1"/>
          <w:numId w:val="41"/>
        </w:numPr>
        <w:tabs>
          <w:tab w:val="left" w:pos="426"/>
        </w:tabs>
        <w:spacing w:before="120" w:after="120"/>
      </w:pPr>
      <w:r w:rsidRPr="001F6EAB">
        <w:rPr>
          <w:i/>
          <w:iCs/>
        </w:rPr>
        <w:t>(Directors’ proposal)</w:t>
      </w:r>
      <w:r>
        <w:t xml:space="preserve"> discussions with the directors, including the information and explanations provided, the options outlined, and the advantages and disadvantages of each</w:t>
      </w:r>
      <w:r w:rsidR="00AD0834">
        <w:t>, and an explanation of the roles of the nominee and supervisor</w:t>
      </w:r>
      <w:r>
        <w:t>. All advice provided to the directors should be confirmed in writing</w:t>
      </w:r>
      <w:r w:rsidR="004A0DEF">
        <w:t>,</w:t>
      </w:r>
    </w:p>
    <w:p w14:paraId="6B8F3F91" w14:textId="260CFBFA" w:rsidR="00730B5A" w:rsidRDefault="00AD0834" w:rsidP="001F6EAB">
      <w:pPr>
        <w:pStyle w:val="ListNumber2"/>
        <w:numPr>
          <w:ilvl w:val="1"/>
          <w:numId w:val="41"/>
        </w:numPr>
        <w:tabs>
          <w:tab w:val="left" w:pos="426"/>
        </w:tabs>
        <w:spacing w:before="120" w:after="120"/>
      </w:pPr>
      <w:r w:rsidDel="00AD0834">
        <w:t xml:space="preserve"> </w:t>
      </w:r>
      <w:r w:rsidR="00730B5A" w:rsidRPr="001F6EAB">
        <w:rPr>
          <w:i/>
          <w:iCs/>
        </w:rPr>
        <w:t>(Directors’ proposal)</w:t>
      </w:r>
      <w:r w:rsidR="00730B5A">
        <w:t xml:space="preserve"> comments made by the directors, and their preferred option;</w:t>
      </w:r>
    </w:p>
    <w:p w14:paraId="71868D64" w14:textId="77777777" w:rsidR="00730B5A" w:rsidRDefault="00730B5A" w:rsidP="001F6EAB">
      <w:pPr>
        <w:pStyle w:val="ListNumber2"/>
        <w:numPr>
          <w:ilvl w:val="1"/>
          <w:numId w:val="41"/>
        </w:numPr>
        <w:tabs>
          <w:tab w:val="left" w:pos="426"/>
        </w:tabs>
        <w:spacing w:before="120" w:after="120"/>
      </w:pPr>
      <w:r>
        <w:t xml:space="preserve">any discussions with creditors (or their representatives) and the company’s shareholders; </w:t>
      </w:r>
      <w:r w:rsidR="008B3906">
        <w:t>and</w:t>
      </w:r>
    </w:p>
    <w:p w14:paraId="51EB2EF0" w14:textId="3E24BD69" w:rsidR="00730B5A" w:rsidRDefault="00730B5A" w:rsidP="001F6EAB">
      <w:pPr>
        <w:pStyle w:val="ListNumber2"/>
        <w:numPr>
          <w:ilvl w:val="1"/>
          <w:numId w:val="41"/>
        </w:numPr>
        <w:tabs>
          <w:tab w:val="left" w:pos="426"/>
        </w:tabs>
        <w:spacing w:before="120" w:after="120"/>
      </w:pPr>
      <w:r>
        <w:lastRenderedPageBreak/>
        <w:t>a detailed note of the strategy, outlining the advantages and disadvantages of each option</w:t>
      </w:r>
      <w:r w:rsidR="00B403AD">
        <w:t xml:space="preserve">, including </w:t>
      </w:r>
      <w:r w:rsidR="00B403AD" w:rsidRPr="005D5AB1">
        <w:t>the impact of trading within a CVA for a prolonged period and the continued viability of the business during that period.</w:t>
      </w:r>
    </w:p>
    <w:p w14:paraId="46747F89" w14:textId="77777777" w:rsidR="00036DB0" w:rsidRDefault="00036DB0" w:rsidP="00BA7D4C">
      <w:pPr>
        <w:pStyle w:val="Heading3"/>
        <w:keepNext/>
      </w:pPr>
      <w:r w:rsidRPr="00755566">
        <w:t>Standards of specific application</w:t>
      </w:r>
    </w:p>
    <w:p w14:paraId="7E4D7625" w14:textId="77777777" w:rsidR="00036DB0" w:rsidRDefault="00625B56" w:rsidP="00BA7D4C">
      <w:pPr>
        <w:pStyle w:val="Heading4"/>
        <w:keepNext/>
      </w:pPr>
      <w:r w:rsidRPr="00394457">
        <w:t>Preparing for a CVA</w:t>
      </w:r>
    </w:p>
    <w:p w14:paraId="7CBA5F4D" w14:textId="77777777" w:rsidR="00036DB0" w:rsidRPr="00036DB0" w:rsidRDefault="00625B56" w:rsidP="00036DB0">
      <w:pPr>
        <w:pStyle w:val="ListNumber"/>
        <w:tabs>
          <w:tab w:val="left" w:pos="426"/>
        </w:tabs>
        <w:spacing w:before="120" w:after="120"/>
        <w:ind w:left="426" w:hanging="426"/>
      </w:pPr>
      <w:r>
        <w:t>When preparing for a CVA, t</w:t>
      </w:r>
      <w:r w:rsidRPr="00F160C2">
        <w:t xml:space="preserve">he insolvency practitioner should have procedures in place to ensure, taking account of the </w:t>
      </w:r>
      <w:r>
        <w:t xml:space="preserve">company’s </w:t>
      </w:r>
      <w:r w:rsidRPr="00F160C2">
        <w:t xml:space="preserve">circumstances and the nature of the </w:t>
      </w:r>
      <w:r>
        <w:t>company</w:t>
      </w:r>
      <w:r w:rsidRPr="00F160C2">
        <w:t xml:space="preserve">’s </w:t>
      </w:r>
      <w:r>
        <w:t>finances</w:t>
      </w:r>
      <w:r w:rsidRPr="00F160C2">
        <w:t>, that:</w:t>
      </w:r>
    </w:p>
    <w:p w14:paraId="14E7028A" w14:textId="77777777" w:rsidR="00036DB0" w:rsidRPr="00036DB0" w:rsidRDefault="00625B56" w:rsidP="00036DB0">
      <w:pPr>
        <w:pStyle w:val="ListNumber2"/>
        <w:tabs>
          <w:tab w:val="left" w:pos="426"/>
        </w:tabs>
        <w:spacing w:before="120" w:after="120"/>
        <w:ind w:left="851" w:hanging="425"/>
      </w:pPr>
      <w:r>
        <w:t>(</w:t>
      </w:r>
      <w:r w:rsidRPr="00C90E81">
        <w:rPr>
          <w:i/>
        </w:rPr>
        <w:t>Directors’ proposal</w:t>
      </w:r>
      <w:r>
        <w:t xml:space="preserve">) </w:t>
      </w:r>
      <w:r w:rsidRPr="00DF6E56">
        <w:t>The directors have had, or receive, the appropriate advice in relation to a CVA</w:t>
      </w:r>
      <w:r>
        <w:t>;</w:t>
      </w:r>
      <w:r w:rsidRPr="00DF6E56">
        <w:t xml:space="preserve"> </w:t>
      </w:r>
      <w:r>
        <w:t>t</w:t>
      </w:r>
      <w:r w:rsidRPr="00DF6E56">
        <w:t xml:space="preserve">his should be confirmed in writing if the insolvency practitioner or </w:t>
      </w:r>
      <w:r>
        <w:t>their</w:t>
      </w:r>
      <w:r w:rsidRPr="00DF6E56">
        <w:t xml:space="preserve"> firm has not done so before</w:t>
      </w:r>
      <w:r>
        <w:t>;</w:t>
      </w:r>
    </w:p>
    <w:p w14:paraId="7D591B75" w14:textId="77777777" w:rsidR="00036DB0" w:rsidRDefault="00625B56" w:rsidP="00036DB0">
      <w:pPr>
        <w:pStyle w:val="ListNumber2"/>
        <w:tabs>
          <w:tab w:val="left" w:pos="426"/>
        </w:tabs>
        <w:spacing w:before="120" w:after="120"/>
        <w:ind w:left="851" w:hanging="425"/>
      </w:pPr>
      <w:r w:rsidRPr="00DF6E56">
        <w:t>Sufficient information is obtained to make an assessment of a CVA as a solution,</w:t>
      </w:r>
      <w:r>
        <w:t xml:space="preserve"> and to enable a nominee to prepare a report,</w:t>
      </w:r>
      <w:r w:rsidRPr="00DF6E56">
        <w:t xml:space="preserve"> </w:t>
      </w:r>
      <w:r>
        <w:t>including</w:t>
      </w:r>
      <w:r w:rsidRPr="00DF6E56">
        <w:t>;</w:t>
      </w:r>
    </w:p>
    <w:p w14:paraId="5E7F419A" w14:textId="77777777" w:rsidR="00625B56" w:rsidRPr="00625B56" w:rsidRDefault="00625B56" w:rsidP="00625B56">
      <w:pPr>
        <w:pStyle w:val="ListNumber3"/>
        <w:ind w:left="1276" w:hanging="425"/>
      </w:pPr>
      <w:r w:rsidRPr="00584849">
        <w:t>the measures taken by the directors or others to avoid recurrence of the company’s financial difficulties</w:t>
      </w:r>
      <w:r>
        <w:t>, if any</w:t>
      </w:r>
      <w:r w:rsidRPr="00584849">
        <w:t xml:space="preserve">; </w:t>
      </w:r>
    </w:p>
    <w:p w14:paraId="53049293" w14:textId="77777777" w:rsidR="00625B56" w:rsidRPr="00625B56" w:rsidRDefault="00625B56" w:rsidP="00625B56">
      <w:pPr>
        <w:pStyle w:val="ListNumber3"/>
        <w:ind w:left="1276" w:hanging="425"/>
      </w:pPr>
      <w:r w:rsidRPr="00DF6E56">
        <w:t xml:space="preserve">the likely expectations of </w:t>
      </w:r>
      <w:r>
        <w:t xml:space="preserve">any </w:t>
      </w:r>
      <w:r w:rsidRPr="00DF6E56">
        <w:t>key creditors</w:t>
      </w:r>
      <w:r>
        <w:t>;</w:t>
      </w:r>
    </w:p>
    <w:p w14:paraId="7178053D" w14:textId="77777777" w:rsidR="00625B56" w:rsidRPr="00625B56" w:rsidRDefault="00625B56" w:rsidP="00625B56">
      <w:pPr>
        <w:pStyle w:val="ListNumber3"/>
        <w:ind w:left="1276" w:hanging="425"/>
      </w:pPr>
      <w:r w:rsidRPr="00DF6E56">
        <w:t>the ef</w:t>
      </w:r>
      <w:r>
        <w:t>fect of the CVA on third parties where their view may have an effect on the viability of the CVA; and</w:t>
      </w:r>
    </w:p>
    <w:p w14:paraId="246DEE52" w14:textId="228347FB" w:rsidR="00625B56" w:rsidRDefault="00625B56" w:rsidP="00625B56">
      <w:pPr>
        <w:pStyle w:val="ListNumber3"/>
        <w:spacing w:after="120"/>
        <w:ind w:left="1276" w:hanging="425"/>
      </w:pPr>
      <w:r w:rsidRPr="00DF6E56">
        <w:t>proportionate investigations into, and verification of, income and expenditure and assets and liabilities</w:t>
      </w:r>
      <w:r w:rsidR="00B403AD">
        <w:t>;</w:t>
      </w:r>
      <w:r w:rsidRPr="00DF6E56">
        <w:t xml:space="preserve"> </w:t>
      </w:r>
    </w:p>
    <w:p w14:paraId="7A082165" w14:textId="00718EB6" w:rsidR="00B403AD" w:rsidRDefault="00B403AD" w:rsidP="001C4875">
      <w:pPr>
        <w:pStyle w:val="ListNumber2"/>
        <w:spacing w:after="120"/>
        <w:ind w:left="851" w:hanging="425"/>
        <w:contextualSpacing w:val="0"/>
      </w:pPr>
      <w:r>
        <w:t>Creditors are given adequate time to consider the proposal.</w:t>
      </w:r>
      <w:r w:rsidR="0011690C">
        <w:t xml:space="preserve"> Where creditors may need assistance in understanding the consequences of </w:t>
      </w:r>
      <w:r w:rsidR="004170E1">
        <w:t xml:space="preserve">a </w:t>
      </w:r>
      <w:r w:rsidR="0011690C">
        <w:t xml:space="preserve">CVA, the insolvency practitioner should consider signposting </w:t>
      </w:r>
      <w:r w:rsidR="005F2277">
        <w:t>sources of help.</w:t>
      </w:r>
      <w:r w:rsidR="0011690C">
        <w:t xml:space="preserve"> </w:t>
      </w:r>
    </w:p>
    <w:p w14:paraId="285C8EB1" w14:textId="77777777" w:rsidR="00036DB0" w:rsidRDefault="00625B56" w:rsidP="00625B56">
      <w:pPr>
        <w:pStyle w:val="Heading4"/>
      </w:pPr>
      <w:r w:rsidRPr="00394457">
        <w:t>The proposal</w:t>
      </w:r>
    </w:p>
    <w:p w14:paraId="01DADA0C" w14:textId="53B5D4AC" w:rsidR="00814C86" w:rsidRPr="00814C86" w:rsidRDefault="00625B56" w:rsidP="00476E3D">
      <w:pPr>
        <w:pStyle w:val="ListNumber"/>
        <w:tabs>
          <w:tab w:val="left" w:pos="426"/>
        </w:tabs>
        <w:spacing w:before="120" w:after="120"/>
        <w:ind w:left="426" w:hanging="426"/>
      </w:pPr>
      <w:r>
        <w:rPr>
          <w:rFonts w:cs="Arial"/>
        </w:rPr>
        <w:t xml:space="preserve">Whether the insolvency practitioner has been asked to assist the directors to prepare a proposal or a proposal is being prepared by an administrator or liquidator, </w:t>
      </w:r>
      <w:r>
        <w:t>t</w:t>
      </w:r>
      <w:r w:rsidRPr="00F160C2">
        <w:t>he insolvency practitioner should have procedures in place to ensure that</w:t>
      </w:r>
      <w:r>
        <w:t xml:space="preserve"> the proposal</w:t>
      </w:r>
      <w:r w:rsidR="00476E3D">
        <w:t xml:space="preserve"> </w:t>
      </w:r>
      <w:r w:rsidR="00476E3D" w:rsidRPr="00476E3D">
        <w:t>i</w:t>
      </w:r>
      <w:r w:rsidR="00476E3D" w:rsidRPr="00476E3D">
        <w:rPr>
          <w:rFonts w:cs="Arial"/>
        </w:rPr>
        <w:t>s considered objectively, has substance and</w:t>
      </w:r>
      <w:r w:rsidRPr="00476E3D">
        <w:rPr>
          <w:i/>
          <w:iCs/>
        </w:rPr>
        <w:t xml:space="preserve"> </w:t>
      </w:r>
      <w:r>
        <w:t>contains the following</w:t>
      </w:r>
      <w:r w:rsidRPr="00F160C2">
        <w:t>:</w:t>
      </w:r>
    </w:p>
    <w:p w14:paraId="43EBA53F" w14:textId="72D927E8" w:rsidR="00814C86" w:rsidRPr="00814C86" w:rsidRDefault="00625B56" w:rsidP="001F6EAB">
      <w:pPr>
        <w:pStyle w:val="ListNumber2"/>
      </w:pPr>
      <w:r>
        <w:t>s</w:t>
      </w:r>
      <w:r w:rsidRPr="00DF6E56">
        <w:t xml:space="preserve">ufficient information for creditors to understand the company’s financial </w:t>
      </w:r>
      <w:r>
        <w:t xml:space="preserve">and trading </w:t>
      </w:r>
      <w:r w:rsidRPr="00DF6E56">
        <w:t>history</w:t>
      </w:r>
      <w:r w:rsidR="00542562">
        <w:t>;</w:t>
      </w:r>
      <w:r>
        <w:t xml:space="preserve"> </w:t>
      </w:r>
    </w:p>
    <w:p w14:paraId="2AA2C545" w14:textId="55ABEA78" w:rsidR="00D60B9B" w:rsidRDefault="00625B56" w:rsidP="001F6EAB">
      <w:pPr>
        <w:pStyle w:val="ListNumber2"/>
      </w:pPr>
      <w:r w:rsidRPr="00C90E81">
        <w:t>the roles of the directors and key employees and their future involvement in the company</w:t>
      </w:r>
      <w:r w:rsidR="00D255BF">
        <w:t>,</w:t>
      </w:r>
      <w:r w:rsidR="00D255BF" w:rsidRPr="00D255BF">
        <w:t xml:space="preserve"> </w:t>
      </w:r>
      <w:r w:rsidR="00D255BF">
        <w:t>including</w:t>
      </w:r>
      <w:r w:rsidR="00542562" w:rsidRPr="00542562">
        <w:t xml:space="preserve"> </w:t>
      </w:r>
      <w:r w:rsidR="00542562">
        <w:t>the background and financial history of the directors where relevant;</w:t>
      </w:r>
    </w:p>
    <w:p w14:paraId="4176BB03" w14:textId="5ECD0F65" w:rsidR="00D60B9B" w:rsidRDefault="00625B56" w:rsidP="001F6EAB">
      <w:pPr>
        <w:pStyle w:val="ListNumber2"/>
      </w:pPr>
      <w:r>
        <w:t xml:space="preserve">if the company has become, or is about to become, insolvent, </w:t>
      </w:r>
      <w:r w:rsidRPr="00DF6E56">
        <w:t>why</w:t>
      </w:r>
      <w:r>
        <w:t>;</w:t>
      </w:r>
    </w:p>
    <w:p w14:paraId="02F13EDB" w14:textId="242B7384" w:rsidR="00D60B9B" w:rsidRDefault="00625B56" w:rsidP="001F6EAB">
      <w:pPr>
        <w:pStyle w:val="ListNumber2"/>
      </w:pPr>
      <w:r w:rsidRPr="00DF6E56">
        <w:t>any other attempts that have been made to solve the company’s financial difficulties</w:t>
      </w:r>
      <w:r>
        <w:t>,</w:t>
      </w:r>
      <w:r w:rsidR="00542562">
        <w:t xml:space="preserve"> and</w:t>
      </w:r>
      <w:r w:rsidR="00542562" w:rsidRPr="00542562">
        <w:t xml:space="preserve"> </w:t>
      </w:r>
      <w:r w:rsidR="00542562">
        <w:t xml:space="preserve">the alternative options considered, both prior to and within formal insolvency by the </w:t>
      </w:r>
      <w:r w:rsidR="00542562" w:rsidRPr="00894DA7">
        <w:t>compan</w:t>
      </w:r>
      <w:r w:rsidR="00542562">
        <w:t>y;</w:t>
      </w:r>
    </w:p>
    <w:p w14:paraId="34DAD2AA" w14:textId="7FD5F6C8" w:rsidR="00B673CD" w:rsidRDefault="00625B56" w:rsidP="001F6EAB">
      <w:pPr>
        <w:pStyle w:val="ListNumber2"/>
      </w:pPr>
      <w:r>
        <w:t>a comparison of the estimated outcomes of the CVA and the outcome if the CVA is not approved</w:t>
      </w:r>
      <w:r w:rsidR="00B673CD">
        <w:t>;</w:t>
      </w:r>
    </w:p>
    <w:p w14:paraId="2828D1DF" w14:textId="0F1F0869" w:rsidR="00894DA7" w:rsidRDefault="00894DA7" w:rsidP="001F6EAB">
      <w:pPr>
        <w:pStyle w:val="ListNumber2"/>
      </w:pPr>
      <w:r>
        <w:t>where relevant, sufficient information to support any profit and cash projections, subject to any commercial sensitivity</w:t>
      </w:r>
      <w:r w:rsidR="00542562">
        <w:t>;</w:t>
      </w:r>
    </w:p>
    <w:p w14:paraId="27318FAE" w14:textId="38794918" w:rsidR="00894DA7" w:rsidRDefault="00894DA7" w:rsidP="001F6EAB">
      <w:pPr>
        <w:pStyle w:val="ListNumber2"/>
      </w:pPr>
      <w:r>
        <w:t>an explanation of the role and powers of the supervisor;</w:t>
      </w:r>
    </w:p>
    <w:p w14:paraId="77C810C3" w14:textId="75739470" w:rsidR="00894DA7" w:rsidRDefault="00894DA7" w:rsidP="001F6EAB">
      <w:pPr>
        <w:pStyle w:val="ListNumber2"/>
      </w:pPr>
      <w:r>
        <w:t>where it</w:t>
      </w:r>
      <w:r w:rsidR="006741DA">
        <w:t xml:space="preserve"> i</w:t>
      </w:r>
      <w:r>
        <w:t>s proposed that certain creditors are to be treated differently, an explanation as to which creditors are affected</w:t>
      </w:r>
      <w:r w:rsidR="006741DA">
        <w:t>, how</w:t>
      </w:r>
      <w:r>
        <w:t xml:space="preserve"> and why, in a manner which aims to be clear and useful;</w:t>
      </w:r>
    </w:p>
    <w:p w14:paraId="08585043" w14:textId="097877C3" w:rsidR="00894DA7" w:rsidRDefault="00894DA7" w:rsidP="001F6EAB">
      <w:pPr>
        <w:pStyle w:val="ListNumber2"/>
      </w:pPr>
      <w:r>
        <w:t>an explanation of how debts are to be valued for voting purposes, in particular where the creditors include long term or contingent liabilities</w:t>
      </w:r>
      <w:r w:rsidR="006741DA">
        <w:t>;</w:t>
      </w:r>
    </w:p>
    <w:p w14:paraId="447EE9A4" w14:textId="77777777" w:rsidR="00542562" w:rsidRDefault="00542562" w:rsidP="001F6EAB">
      <w:pPr>
        <w:pStyle w:val="ListNumber2"/>
      </w:pPr>
      <w:r>
        <w:t>disclosure of the estimated costs of the CVA including the proposed remuneration of the nominee and the supervisor and the bases for those estimates;</w:t>
      </w:r>
    </w:p>
    <w:p w14:paraId="53D6090D" w14:textId="77777777" w:rsidR="00542562" w:rsidRDefault="00542562" w:rsidP="001F6EAB">
      <w:pPr>
        <w:pStyle w:val="ListNumber2"/>
      </w:pPr>
      <w:r>
        <w:lastRenderedPageBreak/>
        <w:t xml:space="preserve">the identity of the source of any referral of the company, the relationship or connection of the referrer to the company and, where any payment has been made or is proposed to the referrer, the amount and reason for that payment; </w:t>
      </w:r>
    </w:p>
    <w:p w14:paraId="306F6FED" w14:textId="552614B5" w:rsidR="00542562" w:rsidRDefault="00542562" w:rsidP="001F6EAB">
      <w:pPr>
        <w:pStyle w:val="ListNumber2"/>
      </w:pPr>
      <w:r>
        <w:t>details of the amounts and source of other payments made, or proposed to be made, to the nominee and the supervisor or their firms in connection, or otherwise, with the proposed CVA, directly or indirectly and the reason(s) for the payment(s);</w:t>
      </w:r>
    </w:p>
    <w:p w14:paraId="071EFF96" w14:textId="06E55FBB" w:rsidR="00625B56" w:rsidRDefault="00A657C2" w:rsidP="00A550A9">
      <w:pPr>
        <w:pStyle w:val="ListNumber2"/>
      </w:pPr>
      <w:r>
        <w:t xml:space="preserve">an explanation of how debts which it is proposed are compromised will be treated should </w:t>
      </w:r>
      <w:r w:rsidR="00894DA7">
        <w:t>the CVA fail; and</w:t>
      </w:r>
    </w:p>
    <w:p w14:paraId="5CF98B74" w14:textId="25452914" w:rsidR="00F754F7" w:rsidRDefault="00894DA7" w:rsidP="001F6EAB">
      <w:pPr>
        <w:pStyle w:val="ListNumber2"/>
      </w:pPr>
      <w:r>
        <w:t xml:space="preserve">the circumstances in which the CVA </w:t>
      </w:r>
      <w:r w:rsidR="00A550A9">
        <w:t>[</w:t>
      </w:r>
      <w:r>
        <w:t>may</w:t>
      </w:r>
      <w:r w:rsidR="00A550A9">
        <w:t>] will</w:t>
      </w:r>
      <w:r>
        <w:t xml:space="preserve"> conclude</w:t>
      </w:r>
      <w:r w:rsidRPr="00F754F7">
        <w:t xml:space="preserve"> </w:t>
      </w:r>
      <w:r>
        <w:t>or fail, including what will happen to the company in such circumstances.</w:t>
      </w:r>
    </w:p>
    <w:p w14:paraId="68AE1DDE" w14:textId="77777777" w:rsidR="00036DB0" w:rsidRDefault="00625B56" w:rsidP="00625B56">
      <w:pPr>
        <w:pStyle w:val="Heading4"/>
      </w:pPr>
      <w:r>
        <w:t>The nominee</w:t>
      </w:r>
    </w:p>
    <w:p w14:paraId="7ABCCEE5" w14:textId="77777777" w:rsidR="00036DB0" w:rsidRDefault="00625B56" w:rsidP="002879BE">
      <w:pPr>
        <w:pStyle w:val="ListNumber"/>
        <w:tabs>
          <w:tab w:val="left" w:pos="426"/>
        </w:tabs>
        <w:spacing w:before="120" w:after="120"/>
        <w:ind w:left="426" w:hanging="426"/>
      </w:pPr>
      <w:r>
        <w:t>W</w:t>
      </w:r>
      <w:r w:rsidRPr="00C90E81">
        <w:t>here the nominee is not the administrator or liquidator</w:t>
      </w:r>
      <w:r>
        <w:t>, i</w:t>
      </w:r>
      <w:r w:rsidRPr="006A412C">
        <w:t xml:space="preserve">t is the responsibility of the nominee to report in relation to the proposed </w:t>
      </w:r>
      <w:r>
        <w:t>CVA</w:t>
      </w:r>
      <w:r w:rsidRPr="006A412C">
        <w:t>.</w:t>
      </w:r>
      <w:r>
        <w:t xml:space="preserve"> When acting as nominee, t</w:t>
      </w:r>
      <w:r w:rsidRPr="006A412C">
        <w:t xml:space="preserve">he insolvency practitioner </w:t>
      </w:r>
      <w:r w:rsidRPr="00D000F5">
        <w:t>should have procedures in place to ensure that:</w:t>
      </w:r>
    </w:p>
    <w:p w14:paraId="385A340F" w14:textId="77777777" w:rsidR="00D60B9B" w:rsidRPr="00D60B9B" w:rsidRDefault="00625B56" w:rsidP="001F6EAB">
      <w:pPr>
        <w:pStyle w:val="ListNumber2"/>
      </w:pPr>
      <w:r>
        <w:t xml:space="preserve">The nominee is able to report </w:t>
      </w:r>
      <w:r w:rsidR="004A0DEF">
        <w:t xml:space="preserve">objectively </w:t>
      </w:r>
      <w:r>
        <w:t>whether or not, in the nominee’s judgement:</w:t>
      </w:r>
    </w:p>
    <w:p w14:paraId="778BE981" w14:textId="77777777" w:rsidR="00D60B9B" w:rsidRPr="00D60B9B" w:rsidRDefault="00860B7C" w:rsidP="00D60B9B">
      <w:pPr>
        <w:pStyle w:val="ListNumber3"/>
        <w:ind w:left="1276" w:hanging="425"/>
      </w:pPr>
      <w:r>
        <w:t>t</w:t>
      </w:r>
      <w:r w:rsidRPr="00D000F5">
        <w:t>he company’s financial position is materially different from that contained in the proposal</w:t>
      </w:r>
      <w:r>
        <w:t>,</w:t>
      </w:r>
      <w:r w:rsidRPr="00D000F5">
        <w:t xml:space="preserve"> explain</w:t>
      </w:r>
      <w:r>
        <w:t>ing</w:t>
      </w:r>
      <w:r w:rsidRPr="00D000F5">
        <w:t xml:space="preserve"> the extent to which the information has been verified;</w:t>
      </w:r>
    </w:p>
    <w:p w14:paraId="4D89F3B2" w14:textId="77777777" w:rsidR="00D60B9B" w:rsidRPr="00D60B9B" w:rsidRDefault="00860B7C" w:rsidP="00D60B9B">
      <w:pPr>
        <w:pStyle w:val="ListNumber3"/>
        <w:ind w:left="1276" w:hanging="425"/>
      </w:pPr>
      <w:r>
        <w:t>t</w:t>
      </w:r>
      <w:r w:rsidRPr="00D000F5">
        <w:t>he CVA is manifestly unfair;</w:t>
      </w:r>
    </w:p>
    <w:p w14:paraId="4056DAFE" w14:textId="1FF600DA" w:rsidR="00D60B9B" w:rsidRPr="00D60B9B" w:rsidRDefault="00860B7C" w:rsidP="00D60B9B">
      <w:pPr>
        <w:pStyle w:val="ListNumber3"/>
        <w:ind w:left="1276" w:hanging="425"/>
      </w:pPr>
      <w:r>
        <w:t>t</w:t>
      </w:r>
      <w:r w:rsidRPr="00D000F5">
        <w:t>he CVA has a reasonable prospect of being approved and implemented</w:t>
      </w:r>
      <w:r w:rsidR="00F0334F">
        <w:t>.</w:t>
      </w:r>
    </w:p>
    <w:p w14:paraId="5F1C0841" w14:textId="77777777" w:rsidR="00860B7C" w:rsidRDefault="00860B7C" w:rsidP="001F6EAB">
      <w:pPr>
        <w:pStyle w:val="ListNumber2"/>
      </w:pPr>
      <w:r>
        <w:t xml:space="preserve">The proposer’s consent is sought on any modifications to the proposal put forward by creditors, and the proposer understands the impact of the modifications on the implementation of the CVA and its viability. </w:t>
      </w:r>
    </w:p>
    <w:p w14:paraId="5175987A" w14:textId="6E84C997" w:rsidR="00D60B9B" w:rsidRPr="00D60B9B" w:rsidRDefault="00860B7C" w:rsidP="001F6EAB">
      <w:pPr>
        <w:pStyle w:val="ListNumber2"/>
      </w:pPr>
      <w:r>
        <w:t>Where a modification is adopted, the insolvency practitioner must ensure that consent is obtained from the proposer of the CVA and, if appropriate, the creditors. In the absence of consent, the CVA cannot proceed</w:t>
      </w:r>
      <w:r w:rsidR="006741DA">
        <w:t xml:space="preserve"> in a modified form</w:t>
      </w:r>
      <w:r>
        <w:t xml:space="preserve">. The proposer’s consent </w:t>
      </w:r>
      <w:r w:rsidR="006741DA">
        <w:t xml:space="preserve">or otherwise </w:t>
      </w:r>
      <w:r>
        <w:t>must be recorded.</w:t>
      </w:r>
    </w:p>
    <w:p w14:paraId="27676B9F" w14:textId="06064534" w:rsidR="00860B7C" w:rsidRDefault="00860B7C" w:rsidP="00F0334F">
      <w:pPr>
        <w:pStyle w:val="ListNumber"/>
        <w:tabs>
          <w:tab w:val="left" w:pos="426"/>
        </w:tabs>
        <w:spacing w:before="120" w:after="120"/>
        <w:ind w:left="426" w:hanging="426"/>
      </w:pPr>
      <w:r w:rsidRPr="00860B7C">
        <w:t>Where the nominee is the administrator</w:t>
      </w:r>
      <w:r w:rsidR="00F0334F">
        <w:t xml:space="preserve"> or liquidator</w:t>
      </w:r>
      <w:r w:rsidRPr="00860B7C">
        <w:t xml:space="preserve">, and the directors’ compliance </w:t>
      </w:r>
      <w:r w:rsidR="00F0334F">
        <w:t>is</w:t>
      </w:r>
      <w:r w:rsidRPr="00860B7C">
        <w:t xml:space="preserve"> required, their consent </w:t>
      </w:r>
      <w:r w:rsidR="00F0334F">
        <w:t>shall be</w:t>
      </w:r>
      <w:r w:rsidR="00F0334F" w:rsidRPr="00860B7C">
        <w:t xml:space="preserve"> </w:t>
      </w:r>
      <w:r w:rsidRPr="00860B7C">
        <w:t>sought.</w:t>
      </w:r>
    </w:p>
    <w:p w14:paraId="45986A6F" w14:textId="77777777" w:rsidR="00860B7C" w:rsidRDefault="00860B7C" w:rsidP="00095ED2">
      <w:pPr>
        <w:pStyle w:val="Heading4"/>
        <w:keepNext/>
      </w:pPr>
      <w:r w:rsidRPr="00394457">
        <w:t>The supervisor</w:t>
      </w:r>
    </w:p>
    <w:p w14:paraId="0337FC98" w14:textId="77777777" w:rsidR="00D60B9B" w:rsidRDefault="00860B7C" w:rsidP="00D60B9B">
      <w:pPr>
        <w:pStyle w:val="ListNumber"/>
        <w:tabs>
          <w:tab w:val="left" w:pos="426"/>
        </w:tabs>
        <w:spacing w:before="120" w:after="120"/>
        <w:ind w:left="426" w:hanging="426"/>
      </w:pPr>
      <w:r w:rsidRPr="00C90E81">
        <w:t>When acting as supervisor, the insolvency practitioner should have procedures in place to ensure that:</w:t>
      </w:r>
    </w:p>
    <w:p w14:paraId="15E205A6" w14:textId="77777777" w:rsidR="00860B7C" w:rsidRDefault="00860B7C" w:rsidP="001F6EAB">
      <w:pPr>
        <w:pStyle w:val="ListNumber2"/>
      </w:pPr>
      <w:r>
        <w:t>where a proposal is modified, creditors have been made aware of the final form of the accepted CVA;</w:t>
      </w:r>
    </w:p>
    <w:p w14:paraId="1AFF6E27" w14:textId="77777777" w:rsidR="00860B7C" w:rsidRDefault="00860B7C" w:rsidP="001F6EAB">
      <w:pPr>
        <w:pStyle w:val="ListNumber2"/>
      </w:pPr>
      <w:r>
        <w:t>the CVA is supervised in accordance with its terms;</w:t>
      </w:r>
    </w:p>
    <w:p w14:paraId="5431852A" w14:textId="77777777" w:rsidR="00860B7C" w:rsidRDefault="00860B7C" w:rsidP="001F6EAB">
      <w:pPr>
        <w:pStyle w:val="ListNumber2"/>
      </w:pPr>
      <w:r>
        <w:t>the progress of the CVA is monitored;</w:t>
      </w:r>
    </w:p>
    <w:p w14:paraId="0ACE828A" w14:textId="77777777" w:rsidR="00860B7C" w:rsidRDefault="00860B7C" w:rsidP="001F6EAB">
      <w:pPr>
        <w:pStyle w:val="ListNumber2"/>
      </w:pPr>
      <w:r>
        <w:t>any departures from the terms of the CVA are identified at an early stage and appropriate action is taken promptly by the supervisor;</w:t>
      </w:r>
    </w:p>
    <w:p w14:paraId="2F72994A" w14:textId="77777777" w:rsidR="00860B7C" w:rsidRDefault="00860B7C" w:rsidP="001F6EAB">
      <w:pPr>
        <w:pStyle w:val="ListNumber2"/>
      </w:pPr>
      <w:r>
        <w:t>any discretions conferred on the supervisor are exercised where necessary, on a timely basis and that exercise is reported at the next available opportunity;</w:t>
      </w:r>
    </w:p>
    <w:p w14:paraId="5A6F655A" w14:textId="77777777" w:rsidR="00860B7C" w:rsidRDefault="00860B7C" w:rsidP="001F6EAB">
      <w:pPr>
        <w:pStyle w:val="ListNumber2"/>
      </w:pPr>
      <w:r>
        <w:t>any variation to the terms of the CVA has been appropriately approved before it is implemented;</w:t>
      </w:r>
    </w:p>
    <w:p w14:paraId="7E9013BF" w14:textId="77777777" w:rsidR="00860B7C" w:rsidRDefault="00860B7C" w:rsidP="001F6EAB">
      <w:pPr>
        <w:pStyle w:val="ListNumber2"/>
      </w:pPr>
      <w:r>
        <w:t>enquiries by creditors and shareholders are dealt with promptly;</w:t>
      </w:r>
    </w:p>
    <w:p w14:paraId="78526F5C" w14:textId="399990DE" w:rsidR="00860B7C" w:rsidRDefault="00860B7C" w:rsidP="001F6EAB">
      <w:pPr>
        <w:pStyle w:val="ListNumber2"/>
      </w:pPr>
      <w:r>
        <w:t>full disclosure is made of the costs of the CVA and of any other sources of income of the insolvency practitioner</w:t>
      </w:r>
      <w:r w:rsidR="008B3906">
        <w:t>, associates of the insolvency practitioner</w:t>
      </w:r>
      <w:r>
        <w:t xml:space="preserve"> or the</w:t>
      </w:r>
      <w:r w:rsidR="00F754F7">
        <w:t xml:space="preserve"> firm</w:t>
      </w:r>
      <w:r>
        <w:t xml:space="preserve">, in relation to the case, in reports; </w:t>
      </w:r>
      <w:r w:rsidR="00F0334F">
        <w:t xml:space="preserve">and </w:t>
      </w:r>
    </w:p>
    <w:p w14:paraId="0D8708B2" w14:textId="58E0C97E" w:rsidR="00860B7C" w:rsidRDefault="00860B7C" w:rsidP="001F6EAB">
      <w:pPr>
        <w:pStyle w:val="ListNumber2"/>
      </w:pPr>
      <w:r>
        <w:t>if the costs of the CVA have increased beyond previously reported estimates, this increase should be reported at the next available opportunity</w:t>
      </w:r>
      <w:r w:rsidR="006741DA">
        <w:t xml:space="preserve"> and an explanation </w:t>
      </w:r>
      <w:r w:rsidR="0011690C">
        <w:t xml:space="preserve">of the increase </w:t>
      </w:r>
      <w:r w:rsidR="006741DA">
        <w:t>provided</w:t>
      </w:r>
      <w:r w:rsidR="00F0334F">
        <w:t>.</w:t>
      </w:r>
      <w:r>
        <w:t xml:space="preserve"> </w:t>
      </w:r>
    </w:p>
    <w:p w14:paraId="5914132F" w14:textId="543588F9" w:rsidR="0011690C" w:rsidRDefault="0011690C" w:rsidP="0011690C">
      <w:pPr>
        <w:pStyle w:val="ListNumber"/>
        <w:spacing w:after="120"/>
      </w:pPr>
      <w:r>
        <w:t>The CVA should be closed promptly on completion or termination.</w:t>
      </w:r>
      <w:r w:rsidRPr="0011690C">
        <w:t xml:space="preserve"> </w:t>
      </w:r>
      <w:r>
        <w:t>When the CVA concludes or fails, the supervisor should ensure that the company is</w:t>
      </w:r>
      <w:r w:rsidRPr="000A1FE6">
        <w:t xml:space="preserve"> dealt with appropriately</w:t>
      </w:r>
      <w:r>
        <w:t xml:space="preserve"> in accordance with the CVA proposal. What is to happen should be reported to creditors.</w:t>
      </w:r>
    </w:p>
    <w:p w14:paraId="0C539560" w14:textId="4F4DF584" w:rsidR="00D60B9B" w:rsidRDefault="00860B7C" w:rsidP="0011690C">
      <w:pPr>
        <w:pStyle w:val="ListNumber"/>
        <w:numPr>
          <w:ilvl w:val="0"/>
          <w:numId w:val="0"/>
        </w:numPr>
        <w:tabs>
          <w:tab w:val="left" w:pos="426"/>
        </w:tabs>
        <w:spacing w:before="120" w:after="120"/>
      </w:pPr>
      <w:r w:rsidRPr="00F52F45">
        <w:rPr>
          <w:rFonts w:cs="Arial"/>
          <w:b/>
        </w:rPr>
        <w:t xml:space="preserve">Effective date: </w:t>
      </w:r>
      <w:r w:rsidRPr="00F52F45">
        <w:rPr>
          <w:rFonts w:cs="Arial"/>
        </w:rPr>
        <w:t>This SIP applies to all cases where the nominee is appointed on or after</w:t>
      </w:r>
      <w:r w:rsidRPr="00F52F45">
        <w:rPr>
          <w:rFonts w:cs="Arial"/>
          <w:b/>
        </w:rPr>
        <w:t xml:space="preserve"> </w:t>
      </w:r>
    </w:p>
    <w:sectPr w:rsidR="00D60B9B" w:rsidSect="002F54B6">
      <w:headerReference w:type="default" r:id="rId10"/>
      <w:type w:val="continuous"/>
      <w:pgSz w:w="11909" w:h="16834" w:code="9"/>
      <w:pgMar w:top="1134" w:right="1134" w:bottom="1134" w:left="1134" w:header="284"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430CF0" w14:textId="77777777" w:rsidR="006C6D67" w:rsidRDefault="006C6D67">
      <w:r>
        <w:separator/>
      </w:r>
    </w:p>
  </w:endnote>
  <w:endnote w:type="continuationSeparator" w:id="0">
    <w:p w14:paraId="2822E754" w14:textId="77777777" w:rsidR="006C6D67" w:rsidRDefault="006C6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85A23" w14:textId="77777777" w:rsidR="00D359CF" w:rsidRDefault="00D359CF" w:rsidP="00D359CF"/>
  <w:tbl>
    <w:tblPr>
      <w:tblW w:w="5000" w:type="pct"/>
      <w:tblLayout w:type="fixed"/>
      <w:tblCellMar>
        <w:left w:w="0" w:type="dxa"/>
        <w:right w:w="0" w:type="dxa"/>
      </w:tblCellMar>
      <w:tblLook w:val="0000" w:firstRow="0" w:lastRow="0" w:firstColumn="0" w:lastColumn="0" w:noHBand="0" w:noVBand="0"/>
    </w:tblPr>
    <w:tblGrid>
      <w:gridCol w:w="4820"/>
      <w:gridCol w:w="4821"/>
    </w:tblGrid>
    <w:tr w:rsidR="00D359CF" w:rsidRPr="00824549" w14:paraId="176ACDA5" w14:textId="77777777" w:rsidTr="00FF1F98">
      <w:tc>
        <w:tcPr>
          <w:tcW w:w="4815" w:type="dxa"/>
          <w:tcBorders>
            <w:top w:val="single" w:sz="4" w:space="0" w:color="E30613" w:themeColor="background2"/>
          </w:tcBorders>
          <w:shd w:val="clear" w:color="auto" w:fill="auto"/>
        </w:tcPr>
        <w:p w14:paraId="21A6B7AD" w14:textId="77777777" w:rsidR="00D359CF" w:rsidRPr="00B53EF6" w:rsidRDefault="00D359CF" w:rsidP="00FF1F98">
          <w:pPr>
            <w:pStyle w:val="Footer"/>
          </w:pPr>
        </w:p>
        <w:p w14:paraId="13E11BDA" w14:textId="7CD0A0D7" w:rsidR="00D359CF" w:rsidRPr="00953929" w:rsidRDefault="000E2F10" w:rsidP="000E2F10">
          <w:pPr>
            <w:pStyle w:val="Footer"/>
            <w:rPr>
              <w:b/>
              <w:sz w:val="8"/>
            </w:rPr>
          </w:pPr>
          <w:r>
            <w:rPr>
              <w:noProof/>
            </w:rPr>
            <w:fldChar w:fldCharType="begin"/>
          </w:r>
          <w:r>
            <w:rPr>
              <w:noProof/>
            </w:rPr>
            <w:instrText xml:space="preserve"> FILENAME   \* MERGEFORMAT </w:instrText>
          </w:r>
          <w:r>
            <w:rPr>
              <w:noProof/>
            </w:rPr>
            <w:fldChar w:fldCharType="separate"/>
          </w:r>
          <w:r w:rsidR="0076294E">
            <w:rPr>
              <w:noProof/>
            </w:rPr>
            <w:t>SIP 3-2 - CVA - clean.docx</w:t>
          </w:r>
          <w:r>
            <w:rPr>
              <w:noProof/>
            </w:rPr>
            <w:fldChar w:fldCharType="end"/>
          </w:r>
          <w:r w:rsidRPr="00953929">
            <w:rPr>
              <w:b/>
              <w:sz w:val="8"/>
            </w:rPr>
            <w:t xml:space="preserve"> </w:t>
          </w:r>
        </w:p>
      </w:tc>
      <w:tc>
        <w:tcPr>
          <w:tcW w:w="4816" w:type="dxa"/>
          <w:tcBorders>
            <w:top w:val="single" w:sz="4" w:space="0" w:color="E30613" w:themeColor="background2"/>
          </w:tcBorders>
          <w:shd w:val="clear" w:color="auto" w:fill="auto"/>
        </w:tcPr>
        <w:p w14:paraId="3DF62FEB" w14:textId="77777777" w:rsidR="00D359CF" w:rsidRPr="00B62098" w:rsidRDefault="00D359CF" w:rsidP="00FF1F98">
          <w:pPr>
            <w:pStyle w:val="Footer"/>
            <w:jc w:val="right"/>
          </w:pPr>
        </w:p>
        <w:p w14:paraId="28992D47" w14:textId="77777777" w:rsidR="00D359CF" w:rsidRPr="005E6231" w:rsidRDefault="00D359CF" w:rsidP="00FF1F98">
          <w:pPr>
            <w:pStyle w:val="Footer"/>
            <w:jc w:val="right"/>
          </w:pPr>
          <w:r>
            <w:t xml:space="preserve">Page </w:t>
          </w:r>
          <w:r>
            <w:fldChar w:fldCharType="begin"/>
          </w:r>
          <w:r>
            <w:instrText xml:space="preserve"> page</w:instrText>
          </w:r>
          <w:r>
            <w:fldChar w:fldCharType="separate"/>
          </w:r>
          <w:r w:rsidR="0076294E">
            <w:rPr>
              <w:noProof/>
            </w:rPr>
            <w:t>1</w:t>
          </w:r>
          <w:r>
            <w:fldChar w:fldCharType="end"/>
          </w:r>
          <w:r>
            <w:t xml:space="preserve"> of </w:t>
          </w:r>
          <w:r w:rsidR="0093069C">
            <w:rPr>
              <w:noProof/>
            </w:rPr>
            <w:fldChar w:fldCharType="begin"/>
          </w:r>
          <w:r w:rsidR="0093069C">
            <w:rPr>
              <w:noProof/>
            </w:rPr>
            <w:instrText xml:space="preserve"> numpages </w:instrText>
          </w:r>
          <w:r w:rsidR="0093069C">
            <w:rPr>
              <w:noProof/>
            </w:rPr>
            <w:fldChar w:fldCharType="separate"/>
          </w:r>
          <w:r w:rsidR="0076294E">
            <w:rPr>
              <w:noProof/>
            </w:rPr>
            <w:t>5</w:t>
          </w:r>
          <w:r w:rsidR="0093069C">
            <w:rPr>
              <w:noProof/>
            </w:rPr>
            <w:fldChar w:fldCharType="end"/>
          </w:r>
        </w:p>
      </w:tc>
    </w:tr>
  </w:tbl>
  <w:p w14:paraId="775FE60A" w14:textId="77777777" w:rsidR="00C53111" w:rsidRPr="00B53EF6" w:rsidRDefault="00C53111" w:rsidP="00D359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26482" w14:textId="77777777" w:rsidR="00C53111" w:rsidRDefault="00C53111" w:rsidP="00C53111"/>
  <w:tbl>
    <w:tblPr>
      <w:tblW w:w="5000" w:type="pct"/>
      <w:tblLayout w:type="fixed"/>
      <w:tblCellMar>
        <w:left w:w="0" w:type="dxa"/>
        <w:right w:w="0" w:type="dxa"/>
      </w:tblCellMar>
      <w:tblLook w:val="0000" w:firstRow="0" w:lastRow="0" w:firstColumn="0" w:lastColumn="0" w:noHBand="0" w:noVBand="0"/>
    </w:tblPr>
    <w:tblGrid>
      <w:gridCol w:w="4820"/>
      <w:gridCol w:w="4821"/>
    </w:tblGrid>
    <w:tr w:rsidR="00C53111" w:rsidRPr="00824549" w14:paraId="54C7655D" w14:textId="77777777" w:rsidTr="0056655D">
      <w:tc>
        <w:tcPr>
          <w:tcW w:w="4815" w:type="dxa"/>
          <w:tcBorders>
            <w:top w:val="single" w:sz="4" w:space="0" w:color="E30613" w:themeColor="background2"/>
          </w:tcBorders>
          <w:shd w:val="clear" w:color="auto" w:fill="auto"/>
        </w:tcPr>
        <w:p w14:paraId="74C6A28B" w14:textId="77777777" w:rsidR="00C53111" w:rsidRPr="00953929" w:rsidRDefault="00C53111" w:rsidP="0056655D">
          <w:pPr>
            <w:pStyle w:val="Footer"/>
            <w:rPr>
              <w:sz w:val="8"/>
            </w:rPr>
          </w:pPr>
        </w:p>
        <w:p w14:paraId="0356AE1A" w14:textId="6AB75AC7" w:rsidR="00C53111" w:rsidRPr="00953929" w:rsidRDefault="0093069C" w:rsidP="0056655D">
          <w:pPr>
            <w:pStyle w:val="Footer"/>
            <w:rPr>
              <w:b/>
              <w:sz w:val="8"/>
            </w:rPr>
          </w:pPr>
          <w:r>
            <w:rPr>
              <w:noProof/>
            </w:rPr>
            <w:fldChar w:fldCharType="begin"/>
          </w:r>
          <w:r>
            <w:rPr>
              <w:noProof/>
            </w:rPr>
            <w:instrText xml:space="preserve"> FILENAME   \* MERGEFORMAT </w:instrText>
          </w:r>
          <w:r>
            <w:rPr>
              <w:noProof/>
            </w:rPr>
            <w:fldChar w:fldCharType="separate"/>
          </w:r>
          <w:r w:rsidR="0076294E">
            <w:rPr>
              <w:noProof/>
            </w:rPr>
            <w:t>SIP 3-2 - CVA - clean.docx</w:t>
          </w:r>
          <w:r>
            <w:rPr>
              <w:noProof/>
            </w:rPr>
            <w:fldChar w:fldCharType="end"/>
          </w:r>
        </w:p>
      </w:tc>
      <w:tc>
        <w:tcPr>
          <w:tcW w:w="4816" w:type="dxa"/>
          <w:tcBorders>
            <w:top w:val="single" w:sz="4" w:space="0" w:color="E30613" w:themeColor="background2"/>
          </w:tcBorders>
          <w:shd w:val="clear" w:color="auto" w:fill="auto"/>
        </w:tcPr>
        <w:p w14:paraId="2F61DBCF" w14:textId="77777777" w:rsidR="00C53111" w:rsidRPr="00953929" w:rsidRDefault="00C53111" w:rsidP="0056655D">
          <w:pPr>
            <w:pStyle w:val="Footer"/>
            <w:jc w:val="right"/>
            <w:rPr>
              <w:sz w:val="8"/>
            </w:rPr>
          </w:pPr>
        </w:p>
        <w:p w14:paraId="583A6F29" w14:textId="77777777" w:rsidR="00C53111" w:rsidRPr="005E6231" w:rsidRDefault="00C53111" w:rsidP="0056655D">
          <w:pPr>
            <w:pStyle w:val="Footer"/>
            <w:jc w:val="right"/>
          </w:pPr>
          <w:r>
            <w:t xml:space="preserve">Page </w:t>
          </w:r>
          <w:r>
            <w:fldChar w:fldCharType="begin"/>
          </w:r>
          <w:r>
            <w:instrText xml:space="preserve"> page</w:instrText>
          </w:r>
          <w:r>
            <w:fldChar w:fldCharType="separate"/>
          </w:r>
          <w:r w:rsidR="006E3BC3">
            <w:rPr>
              <w:noProof/>
            </w:rPr>
            <w:t>1</w:t>
          </w:r>
          <w:r>
            <w:fldChar w:fldCharType="end"/>
          </w:r>
          <w:r>
            <w:t xml:space="preserve"> of </w:t>
          </w:r>
          <w:r w:rsidR="0093069C">
            <w:rPr>
              <w:noProof/>
            </w:rPr>
            <w:fldChar w:fldCharType="begin"/>
          </w:r>
          <w:r w:rsidR="0093069C">
            <w:rPr>
              <w:noProof/>
            </w:rPr>
            <w:instrText xml:space="preserve"> numpages </w:instrText>
          </w:r>
          <w:r w:rsidR="0093069C">
            <w:rPr>
              <w:noProof/>
            </w:rPr>
            <w:fldChar w:fldCharType="separate"/>
          </w:r>
          <w:r w:rsidR="0076294E">
            <w:rPr>
              <w:noProof/>
            </w:rPr>
            <w:t>5</w:t>
          </w:r>
          <w:r w:rsidR="0093069C">
            <w:rPr>
              <w:noProof/>
            </w:rPr>
            <w:fldChar w:fldCharType="end"/>
          </w:r>
        </w:p>
      </w:tc>
    </w:tr>
  </w:tbl>
  <w:p w14:paraId="00888917" w14:textId="77777777" w:rsidR="00C53111" w:rsidRPr="00AD2C76" w:rsidRDefault="00C53111" w:rsidP="00C531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BC0085" w14:textId="77777777" w:rsidR="006C6D67" w:rsidRDefault="006C6D67">
      <w:r>
        <w:separator/>
      </w:r>
    </w:p>
  </w:footnote>
  <w:footnote w:type="continuationSeparator" w:id="0">
    <w:p w14:paraId="2A865E57" w14:textId="77777777" w:rsidR="006C6D67" w:rsidRDefault="006C6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AC966" w14:textId="77777777" w:rsidR="006E3BC3" w:rsidRPr="006E3BC3" w:rsidRDefault="006E3BC3" w:rsidP="006E3B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EF54FE3E"/>
    <w:lvl w:ilvl="0">
      <w:start w:val="1"/>
      <w:numFmt w:val="decimal"/>
      <w:lvlText w:val="%1."/>
      <w:lvlJc w:val="left"/>
      <w:pPr>
        <w:tabs>
          <w:tab w:val="num" w:pos="926"/>
        </w:tabs>
        <w:ind w:left="926" w:hanging="360"/>
      </w:pPr>
    </w:lvl>
  </w:abstractNum>
  <w:abstractNum w:abstractNumId="1" w15:restartNumberingAfterBreak="0">
    <w:nsid w:val="053F6762"/>
    <w:multiLevelType w:val="hybridMultilevel"/>
    <w:tmpl w:val="B8B0DC2A"/>
    <w:lvl w:ilvl="0" w:tplc="1BEEDD38">
      <w:start w:val="1"/>
      <w:numFmt w:val="lowerRoman"/>
      <w:lvlText w:val="(%1)"/>
      <w:lvlJc w:val="center"/>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7544CFD"/>
    <w:multiLevelType w:val="hybridMultilevel"/>
    <w:tmpl w:val="2522057C"/>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18145F04"/>
    <w:multiLevelType w:val="multilevel"/>
    <w:tmpl w:val="6AC47156"/>
    <w:lvl w:ilvl="0">
      <w:start w:val="1"/>
      <w:numFmt w:val="bullet"/>
      <w:pStyle w:val="ListBullet"/>
      <w:lvlText w:val=""/>
      <w:lvlJc w:val="left"/>
      <w:pPr>
        <w:ind w:left="714" w:hanging="357"/>
      </w:pPr>
      <w:rPr>
        <w:rFonts w:ascii="Symbol" w:hAnsi="Symbol" w:hint="default"/>
        <w:color w:val="auto"/>
      </w:rPr>
    </w:lvl>
    <w:lvl w:ilvl="1">
      <w:start w:val="1"/>
      <w:numFmt w:val="bullet"/>
      <w:pStyle w:val="ListBullet2"/>
      <w:lvlText w:val="─"/>
      <w:lvlJc w:val="left"/>
      <w:pPr>
        <w:ind w:left="1071" w:hanging="357"/>
      </w:pPr>
      <w:rPr>
        <w:rFonts w:ascii="Calibri" w:hAnsi="Calibri" w:hint="default"/>
        <w:color w:val="auto"/>
      </w:rPr>
    </w:lvl>
    <w:lvl w:ilvl="2">
      <w:start w:val="1"/>
      <w:numFmt w:val="bullet"/>
      <w:pStyle w:val="ListBullet3"/>
      <w:lvlText w:val="–"/>
      <w:lvlJc w:val="left"/>
      <w:pPr>
        <w:ind w:left="1428" w:hanging="357"/>
      </w:pPr>
      <w:rPr>
        <w:rFonts w:ascii="Arial" w:hAnsi="Arial" w:hint="default"/>
        <w:color w:val="auto"/>
      </w:rPr>
    </w:lvl>
    <w:lvl w:ilvl="3">
      <w:start w:val="1"/>
      <w:numFmt w:val="bullet"/>
      <w:lvlText w:val=""/>
      <w:lvlJc w:val="left"/>
      <w:pPr>
        <w:ind w:left="1785" w:hanging="357"/>
      </w:pPr>
      <w:rPr>
        <w:rFonts w:ascii="Symbol" w:hAnsi="Symbol" w:hint="default"/>
      </w:rPr>
    </w:lvl>
    <w:lvl w:ilvl="4">
      <w:start w:val="1"/>
      <w:numFmt w:val="bullet"/>
      <w:lvlText w:val="o"/>
      <w:lvlJc w:val="left"/>
      <w:pPr>
        <w:ind w:left="2142" w:hanging="357"/>
      </w:pPr>
      <w:rPr>
        <w:rFonts w:ascii="Courier New" w:hAnsi="Courier New" w:cs="Courier New" w:hint="default"/>
      </w:rPr>
    </w:lvl>
    <w:lvl w:ilvl="5">
      <w:start w:val="1"/>
      <w:numFmt w:val="bullet"/>
      <w:lvlText w:val=""/>
      <w:lvlJc w:val="left"/>
      <w:pPr>
        <w:ind w:left="2499" w:hanging="357"/>
      </w:pPr>
      <w:rPr>
        <w:rFonts w:ascii="Wingdings" w:hAnsi="Wingdings" w:hint="default"/>
      </w:rPr>
    </w:lvl>
    <w:lvl w:ilvl="6">
      <w:start w:val="1"/>
      <w:numFmt w:val="bullet"/>
      <w:lvlText w:val=""/>
      <w:lvlJc w:val="left"/>
      <w:pPr>
        <w:ind w:left="2856" w:hanging="357"/>
      </w:pPr>
      <w:rPr>
        <w:rFonts w:ascii="Symbol" w:hAnsi="Symbol" w:hint="default"/>
      </w:rPr>
    </w:lvl>
    <w:lvl w:ilvl="7">
      <w:start w:val="1"/>
      <w:numFmt w:val="bullet"/>
      <w:lvlText w:val="o"/>
      <w:lvlJc w:val="left"/>
      <w:pPr>
        <w:ind w:left="3213" w:hanging="357"/>
      </w:pPr>
      <w:rPr>
        <w:rFonts w:ascii="Courier New" w:hAnsi="Courier New" w:cs="Courier New" w:hint="default"/>
      </w:rPr>
    </w:lvl>
    <w:lvl w:ilvl="8">
      <w:start w:val="1"/>
      <w:numFmt w:val="bullet"/>
      <w:lvlText w:val=""/>
      <w:lvlJc w:val="left"/>
      <w:pPr>
        <w:ind w:left="3570" w:hanging="357"/>
      </w:pPr>
      <w:rPr>
        <w:rFonts w:ascii="Wingdings" w:hAnsi="Wingdings" w:hint="default"/>
      </w:rPr>
    </w:lvl>
  </w:abstractNum>
  <w:abstractNum w:abstractNumId="4" w15:restartNumberingAfterBreak="0">
    <w:nsid w:val="1C563426"/>
    <w:multiLevelType w:val="multilevel"/>
    <w:tmpl w:val="2BE094B4"/>
    <w:styleLink w:val="Bulletpoints"/>
    <w:lvl w:ilvl="0">
      <w:start w:val="1"/>
      <w:numFmt w:val="bullet"/>
      <w:lvlText w:val=""/>
      <w:lvlJc w:val="left"/>
      <w:pPr>
        <w:tabs>
          <w:tab w:val="num" w:pos="567"/>
        </w:tabs>
        <w:ind w:left="567" w:hanging="283"/>
      </w:pPr>
      <w:rPr>
        <w:rFonts w:ascii="Symbol" w:hAnsi="Symbol" w:hint="default"/>
        <w:color w:val="808080"/>
        <w:sz w:val="20"/>
      </w:rPr>
    </w:lvl>
    <w:lvl w:ilvl="1">
      <w:start w:val="1"/>
      <w:numFmt w:val="bullet"/>
      <w:lvlText w:val="-"/>
      <w:lvlJc w:val="left"/>
      <w:pPr>
        <w:tabs>
          <w:tab w:val="num" w:pos="851"/>
        </w:tabs>
        <w:ind w:left="851" w:hanging="284"/>
      </w:pPr>
      <w:rPr>
        <w:rFonts w:ascii="Arial" w:hAnsi="Arial" w:hint="default"/>
        <w:color w:val="808080"/>
      </w:rPr>
    </w:lvl>
    <w:lvl w:ilvl="2">
      <w:start w:val="1"/>
      <w:numFmt w:val="bullet"/>
      <w:lvlText w:val="-"/>
      <w:lvlJc w:val="left"/>
      <w:pPr>
        <w:tabs>
          <w:tab w:val="num" w:pos="1134"/>
        </w:tabs>
        <w:ind w:left="1134" w:hanging="283"/>
      </w:pPr>
      <w:rPr>
        <w:rFonts w:ascii="Arial" w:hAnsi="Arial" w:hint="default"/>
        <w:color w:val="808080"/>
      </w:rPr>
    </w:lvl>
    <w:lvl w:ilvl="3">
      <w:start w:val="1"/>
      <w:numFmt w:val="bullet"/>
      <w:lvlText w:val=""/>
      <w:lvlJc w:val="left"/>
      <w:pPr>
        <w:tabs>
          <w:tab w:val="num" w:pos="4810"/>
        </w:tabs>
        <w:ind w:left="4810" w:hanging="360"/>
      </w:pPr>
      <w:rPr>
        <w:rFonts w:ascii="Symbol" w:hAnsi="Symbol" w:hint="default"/>
      </w:rPr>
    </w:lvl>
    <w:lvl w:ilvl="4">
      <w:start w:val="1"/>
      <w:numFmt w:val="bullet"/>
      <w:lvlText w:val="o"/>
      <w:lvlJc w:val="left"/>
      <w:pPr>
        <w:tabs>
          <w:tab w:val="num" w:pos="5530"/>
        </w:tabs>
        <w:ind w:left="5530" w:hanging="360"/>
      </w:pPr>
      <w:rPr>
        <w:rFonts w:ascii="Courier New" w:hAnsi="Courier New" w:cs="Courier New" w:hint="default"/>
      </w:rPr>
    </w:lvl>
    <w:lvl w:ilvl="5">
      <w:start w:val="1"/>
      <w:numFmt w:val="bullet"/>
      <w:lvlText w:val=""/>
      <w:lvlJc w:val="left"/>
      <w:pPr>
        <w:tabs>
          <w:tab w:val="num" w:pos="6250"/>
        </w:tabs>
        <w:ind w:left="6250" w:hanging="360"/>
      </w:pPr>
      <w:rPr>
        <w:rFonts w:ascii="Wingdings" w:hAnsi="Wingdings" w:hint="default"/>
      </w:rPr>
    </w:lvl>
    <w:lvl w:ilvl="6">
      <w:start w:val="1"/>
      <w:numFmt w:val="bullet"/>
      <w:lvlText w:val=""/>
      <w:lvlJc w:val="left"/>
      <w:pPr>
        <w:tabs>
          <w:tab w:val="num" w:pos="6970"/>
        </w:tabs>
        <w:ind w:left="6970" w:hanging="360"/>
      </w:pPr>
      <w:rPr>
        <w:rFonts w:ascii="Symbol" w:hAnsi="Symbol" w:hint="default"/>
      </w:rPr>
    </w:lvl>
    <w:lvl w:ilvl="7">
      <w:start w:val="1"/>
      <w:numFmt w:val="bullet"/>
      <w:lvlText w:val="o"/>
      <w:lvlJc w:val="left"/>
      <w:pPr>
        <w:tabs>
          <w:tab w:val="num" w:pos="7690"/>
        </w:tabs>
        <w:ind w:left="7690" w:hanging="360"/>
      </w:pPr>
      <w:rPr>
        <w:rFonts w:ascii="Courier New" w:hAnsi="Courier New" w:cs="Courier New" w:hint="default"/>
      </w:rPr>
    </w:lvl>
    <w:lvl w:ilvl="8">
      <w:start w:val="1"/>
      <w:numFmt w:val="bullet"/>
      <w:lvlText w:val=""/>
      <w:lvlJc w:val="left"/>
      <w:pPr>
        <w:tabs>
          <w:tab w:val="num" w:pos="8410"/>
        </w:tabs>
        <w:ind w:left="8410" w:hanging="360"/>
      </w:pPr>
      <w:rPr>
        <w:rFonts w:ascii="Wingdings" w:hAnsi="Wingdings" w:hint="default"/>
      </w:rPr>
    </w:lvl>
  </w:abstractNum>
  <w:abstractNum w:abstractNumId="5" w15:restartNumberingAfterBreak="0">
    <w:nsid w:val="21CE02F2"/>
    <w:multiLevelType w:val="hybridMultilevel"/>
    <w:tmpl w:val="55CC00CA"/>
    <w:lvl w:ilvl="0" w:tplc="08090017">
      <w:start w:val="1"/>
      <w:numFmt w:val="lowerLetter"/>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6" w15:restartNumberingAfterBreak="0">
    <w:nsid w:val="26F41F0C"/>
    <w:multiLevelType w:val="hybridMultilevel"/>
    <w:tmpl w:val="E7541062"/>
    <w:lvl w:ilvl="0" w:tplc="7376158E">
      <w:start w:val="14"/>
      <w:numFmt w:val="decimal"/>
      <w:lvlText w:val="%1."/>
      <w:lvlJc w:val="left"/>
      <w:pPr>
        <w:ind w:left="12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063AA1"/>
    <w:multiLevelType w:val="multilevel"/>
    <w:tmpl w:val="60E460A0"/>
    <w:lvl w:ilvl="0">
      <w:start w:val="16"/>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4821B3A"/>
    <w:multiLevelType w:val="hybridMultilevel"/>
    <w:tmpl w:val="68D4E5F8"/>
    <w:lvl w:ilvl="0" w:tplc="6B26EE60">
      <w:start w:val="1"/>
      <w:numFmt w:val="upperLetter"/>
      <w:pStyle w:val="Appendix"/>
      <w:lvlText w:val="Appendix %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1A70BA"/>
    <w:multiLevelType w:val="hybridMultilevel"/>
    <w:tmpl w:val="872C0798"/>
    <w:lvl w:ilvl="0" w:tplc="08090017">
      <w:start w:val="1"/>
      <w:numFmt w:val="lowerLetter"/>
      <w:lvlText w:val="%1)"/>
      <w:lvlJc w:val="left"/>
      <w:pPr>
        <w:ind w:left="1287" w:hanging="360"/>
      </w:pPr>
      <w:rPr>
        <w:rFonts w:hint="default"/>
      </w:r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0" w15:restartNumberingAfterBreak="0">
    <w:nsid w:val="48DA28FB"/>
    <w:multiLevelType w:val="hybridMultilevel"/>
    <w:tmpl w:val="B478D902"/>
    <w:lvl w:ilvl="0" w:tplc="08090019">
      <w:start w:val="1"/>
      <w:numFmt w:val="lowerLetter"/>
      <w:lvlText w:val="%1."/>
      <w:lvlJc w:val="left"/>
      <w:pPr>
        <w:ind w:left="927" w:hanging="360"/>
      </w:pPr>
      <w:rPr>
        <w:rFonts w:cs="Times New Roman" w:hint="default"/>
        <w:b w:val="0"/>
        <w:i w:val="0"/>
      </w:rPr>
    </w:lvl>
    <w:lvl w:ilvl="1" w:tplc="D46233B6">
      <w:start w:val="1"/>
      <w:numFmt w:val="lowerRoman"/>
      <w:lvlText w:val="(%2)"/>
      <w:lvlJc w:val="right"/>
      <w:pPr>
        <w:ind w:left="1647" w:hanging="360"/>
      </w:pPr>
      <w:rPr>
        <w:rFonts w:cs="Times New Roman" w:hint="default"/>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11" w15:restartNumberingAfterBreak="0">
    <w:nsid w:val="4F426BDA"/>
    <w:multiLevelType w:val="hybridMultilevel"/>
    <w:tmpl w:val="A34E669E"/>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2" w15:restartNumberingAfterBreak="0">
    <w:nsid w:val="54D83919"/>
    <w:multiLevelType w:val="multilevel"/>
    <w:tmpl w:val="BF9E861C"/>
    <w:lvl w:ilvl="0">
      <w:start w:val="10"/>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0461F20"/>
    <w:multiLevelType w:val="hybridMultilevel"/>
    <w:tmpl w:val="77C8D634"/>
    <w:lvl w:ilvl="0" w:tplc="08090017">
      <w:start w:val="1"/>
      <w:numFmt w:val="lowerLetter"/>
      <w:lvlText w:val="%1)"/>
      <w:lvlJc w:val="left"/>
      <w:pPr>
        <w:ind w:left="927" w:hanging="360"/>
      </w:pPr>
      <w:rPr>
        <w:rFonts w:hint="default"/>
        <w:b w:val="0"/>
        <w:i w:val="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68FD79E7"/>
    <w:multiLevelType w:val="hybridMultilevel"/>
    <w:tmpl w:val="802ED7CA"/>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5" w15:restartNumberingAfterBreak="0">
    <w:nsid w:val="731B254F"/>
    <w:multiLevelType w:val="hybridMultilevel"/>
    <w:tmpl w:val="0A6ABF28"/>
    <w:lvl w:ilvl="0" w:tplc="1BEEDD38">
      <w:start w:val="1"/>
      <w:numFmt w:val="lowerRoman"/>
      <w:lvlText w:val="(%1)"/>
      <w:lvlJc w:val="center"/>
      <w:pPr>
        <w:ind w:left="1647" w:hanging="360"/>
      </w:pPr>
      <w:rPr>
        <w:rFonts w:hint="default"/>
      </w:rPr>
    </w:lvl>
    <w:lvl w:ilvl="1" w:tplc="D46233B6">
      <w:start w:val="1"/>
      <w:numFmt w:val="lowerRoman"/>
      <w:lvlText w:val="(%2)"/>
      <w:lvlJc w:val="right"/>
      <w:pPr>
        <w:ind w:left="2367" w:hanging="360"/>
      </w:pPr>
      <w:rPr>
        <w:rFonts w:hint="default"/>
      </w:r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16" w15:restartNumberingAfterBreak="0">
    <w:nsid w:val="767A6F95"/>
    <w:multiLevelType w:val="multilevel"/>
    <w:tmpl w:val="D714D324"/>
    <w:lvl w:ilvl="0">
      <w:start w:val="1"/>
      <w:numFmt w:val="decimal"/>
      <w:pStyle w:val="ListNumber"/>
      <w:lvlText w:val="%1."/>
      <w:lvlJc w:val="left"/>
      <w:pPr>
        <w:ind w:left="357" w:hanging="357"/>
      </w:pPr>
      <w:rPr>
        <w:rFonts w:ascii="Arial" w:hAnsi="Arial" w:hint="default"/>
        <w:b w:val="0"/>
        <w:i w:val="0"/>
        <w:color w:val="000000"/>
        <w:sz w:val="22"/>
        <w:u w:val="none"/>
      </w:rPr>
    </w:lvl>
    <w:lvl w:ilvl="1">
      <w:start w:val="1"/>
      <w:numFmt w:val="lowerLetter"/>
      <w:pStyle w:val="ListNumber2"/>
      <w:lvlText w:val="%2)"/>
      <w:lvlJc w:val="left"/>
      <w:pPr>
        <w:ind w:left="714" w:hanging="357"/>
      </w:pPr>
      <w:rPr>
        <w:rFonts w:ascii="Arial" w:hAnsi="Arial" w:hint="default"/>
        <w:b w:val="0"/>
        <w:i w:val="0"/>
        <w:sz w:val="22"/>
      </w:rPr>
    </w:lvl>
    <w:lvl w:ilvl="2">
      <w:start w:val="1"/>
      <w:numFmt w:val="lowerRoman"/>
      <w:pStyle w:val="ListNumber3"/>
      <w:lvlText w:val="%3."/>
      <w:lvlJc w:val="left"/>
      <w:pPr>
        <w:ind w:left="1071" w:hanging="357"/>
      </w:pPr>
      <w:rPr>
        <w:rFonts w:ascii="Arial" w:hAnsi="Arial" w:hint="default"/>
        <w:b w:val="0"/>
        <w:i w:val="0"/>
        <w:sz w:val="22"/>
      </w:rPr>
    </w:lvl>
    <w:lvl w:ilvl="3">
      <w:start w:val="1"/>
      <w:numFmt w:val="decimal"/>
      <w:lvlText w:val="%1.%2.%3.%4."/>
      <w:lvlJc w:val="left"/>
      <w:pPr>
        <w:tabs>
          <w:tab w:val="num" w:pos="2160"/>
        </w:tabs>
        <w:ind w:left="1428" w:hanging="357"/>
      </w:pPr>
      <w:rPr>
        <w:rFonts w:hint="default"/>
      </w:rPr>
    </w:lvl>
    <w:lvl w:ilvl="4">
      <w:start w:val="1"/>
      <w:numFmt w:val="decimal"/>
      <w:lvlText w:val="%1.%2.%3.%4.%5."/>
      <w:lvlJc w:val="left"/>
      <w:pPr>
        <w:tabs>
          <w:tab w:val="num" w:pos="2520"/>
        </w:tabs>
        <w:ind w:left="1785" w:hanging="357"/>
      </w:pPr>
      <w:rPr>
        <w:rFonts w:hint="default"/>
      </w:rPr>
    </w:lvl>
    <w:lvl w:ilvl="5">
      <w:start w:val="1"/>
      <w:numFmt w:val="decimal"/>
      <w:lvlText w:val="%1.%2.%3.%4.%5.%6."/>
      <w:lvlJc w:val="left"/>
      <w:pPr>
        <w:tabs>
          <w:tab w:val="num" w:pos="3240"/>
        </w:tabs>
        <w:ind w:left="2142" w:hanging="357"/>
      </w:pPr>
      <w:rPr>
        <w:rFonts w:hint="default"/>
      </w:rPr>
    </w:lvl>
    <w:lvl w:ilvl="6">
      <w:start w:val="1"/>
      <w:numFmt w:val="decimal"/>
      <w:lvlText w:val="%1.%2.%3.%4.%5.%6.%7."/>
      <w:lvlJc w:val="left"/>
      <w:pPr>
        <w:tabs>
          <w:tab w:val="num" w:pos="3600"/>
        </w:tabs>
        <w:ind w:left="2499" w:hanging="357"/>
      </w:pPr>
      <w:rPr>
        <w:rFonts w:hint="default"/>
      </w:rPr>
    </w:lvl>
    <w:lvl w:ilvl="7">
      <w:start w:val="1"/>
      <w:numFmt w:val="decimal"/>
      <w:lvlText w:val="%1.%2.%3.%4.%5.%6.%7.%8."/>
      <w:lvlJc w:val="left"/>
      <w:pPr>
        <w:tabs>
          <w:tab w:val="num" w:pos="4320"/>
        </w:tabs>
        <w:ind w:left="2856" w:hanging="357"/>
      </w:pPr>
      <w:rPr>
        <w:rFonts w:hint="default"/>
      </w:rPr>
    </w:lvl>
    <w:lvl w:ilvl="8">
      <w:start w:val="1"/>
      <w:numFmt w:val="decimal"/>
      <w:lvlText w:val="%1.%2.%3.%4.%5.%6.%7.%8.%9."/>
      <w:lvlJc w:val="left"/>
      <w:pPr>
        <w:tabs>
          <w:tab w:val="num" w:pos="5040"/>
        </w:tabs>
        <w:ind w:left="3213" w:hanging="357"/>
      </w:pPr>
      <w:rPr>
        <w:rFonts w:hint="default"/>
      </w:rPr>
    </w:lvl>
  </w:abstractNum>
  <w:abstractNum w:abstractNumId="17" w15:restartNumberingAfterBreak="0">
    <w:nsid w:val="7C6F0DCA"/>
    <w:multiLevelType w:val="hybridMultilevel"/>
    <w:tmpl w:val="F3222694"/>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abstractNumId w:val="4"/>
  </w:num>
  <w:num w:numId="2">
    <w:abstractNumId w:val="8"/>
  </w:num>
  <w:num w:numId="3">
    <w:abstractNumId w:val="3"/>
  </w:num>
  <w:num w:numId="4">
    <w:abstractNumId w:val="16"/>
  </w:num>
  <w:num w:numId="5">
    <w:abstractNumId w:val="16"/>
  </w:num>
  <w:num w:numId="6">
    <w:abstractNumId w:val="16"/>
  </w:num>
  <w:num w:numId="7">
    <w:abstractNumId w:val="12"/>
  </w:num>
  <w:num w:numId="8">
    <w:abstractNumId w:val="14"/>
  </w:num>
  <w:num w:numId="9">
    <w:abstractNumId w:val="16"/>
  </w:num>
  <w:num w:numId="10">
    <w:abstractNumId w:val="17"/>
  </w:num>
  <w:num w:numId="11">
    <w:abstractNumId w:val="16"/>
  </w:num>
  <w:num w:numId="12">
    <w:abstractNumId w:val="2"/>
  </w:num>
  <w:num w:numId="13">
    <w:abstractNumId w:val="16"/>
  </w:num>
  <w:num w:numId="14">
    <w:abstractNumId w:val="9"/>
  </w:num>
  <w:num w:numId="15">
    <w:abstractNumId w:val="16"/>
  </w:num>
  <w:num w:numId="16">
    <w:abstractNumId w:val="13"/>
  </w:num>
  <w:num w:numId="17">
    <w:abstractNumId w:val="1"/>
  </w:num>
  <w:num w:numId="18">
    <w:abstractNumId w:val="16"/>
  </w:num>
  <w:num w:numId="19">
    <w:abstractNumId w:val="16"/>
  </w:num>
  <w:num w:numId="20">
    <w:abstractNumId w:val="5"/>
  </w:num>
  <w:num w:numId="21">
    <w:abstractNumId w:val="15"/>
  </w:num>
  <w:num w:numId="22">
    <w:abstractNumId w:val="6"/>
  </w:num>
  <w:num w:numId="23">
    <w:abstractNumId w:val="16"/>
  </w:num>
  <w:num w:numId="24">
    <w:abstractNumId w:val="16"/>
  </w:num>
  <w:num w:numId="25">
    <w:abstractNumId w:val="16"/>
  </w:num>
  <w:num w:numId="26">
    <w:abstractNumId w:val="11"/>
  </w:num>
  <w:num w:numId="27">
    <w:abstractNumId w:val="7"/>
  </w:num>
  <w:num w:numId="28">
    <w:abstractNumId w:val="16"/>
  </w:num>
  <w:num w:numId="29">
    <w:abstractNumId w:val="16"/>
  </w:num>
  <w:num w:numId="30">
    <w:abstractNumId w:val="16"/>
  </w:num>
  <w:num w:numId="31">
    <w:abstractNumId w:val="16"/>
  </w:num>
  <w:num w:numId="32">
    <w:abstractNumId w:val="16"/>
  </w:num>
  <w:num w:numId="33">
    <w:abstractNumId w:val="0"/>
  </w:num>
  <w:num w:numId="34">
    <w:abstractNumId w:val="10"/>
  </w:num>
  <w:num w:numId="35">
    <w:abstractNumId w:val="16"/>
  </w:num>
  <w:num w:numId="36">
    <w:abstractNumId w:val="16"/>
  </w:num>
  <w:num w:numId="37">
    <w:abstractNumId w:val="16"/>
  </w:num>
  <w:num w:numId="38">
    <w:abstractNumId w:val="16"/>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lvl w:ilvl="0">
        <w:start w:val="1"/>
        <w:numFmt w:val="decimal"/>
        <w:pStyle w:val="ListNumber"/>
        <w:lvlText w:val="%1."/>
        <w:lvlJc w:val="left"/>
        <w:pPr>
          <w:ind w:left="357" w:hanging="357"/>
        </w:pPr>
        <w:rPr>
          <w:rFonts w:ascii="Arial" w:hAnsi="Arial" w:hint="default"/>
          <w:b w:val="0"/>
          <w:i w:val="0"/>
          <w:color w:val="000000"/>
          <w:sz w:val="22"/>
          <w:u w:val="none"/>
        </w:rPr>
      </w:lvl>
    </w:lvlOverride>
    <w:lvlOverride w:ilvl="1">
      <w:lvl w:ilvl="1">
        <w:start w:val="1"/>
        <w:numFmt w:val="lowerLetter"/>
        <w:pStyle w:val="ListNumber2"/>
        <w:lvlText w:val="%2)"/>
        <w:lvlJc w:val="left"/>
        <w:pPr>
          <w:ind w:left="714" w:hanging="357"/>
        </w:pPr>
        <w:rPr>
          <w:rFonts w:ascii="Arial" w:hAnsi="Arial" w:hint="default"/>
          <w:b w:val="0"/>
          <w:i w:val="0"/>
          <w:sz w:val="22"/>
        </w:rPr>
      </w:lvl>
    </w:lvlOverride>
    <w:lvlOverride w:ilvl="2">
      <w:lvl w:ilvl="2">
        <w:start w:val="1"/>
        <w:numFmt w:val="lowerRoman"/>
        <w:pStyle w:val="ListNumber3"/>
        <w:lvlText w:val="%3."/>
        <w:lvlJc w:val="left"/>
        <w:pPr>
          <w:ind w:left="1071" w:hanging="357"/>
        </w:pPr>
        <w:rPr>
          <w:rFonts w:ascii="Arial" w:hAnsi="Arial" w:hint="default"/>
          <w:b w:val="0"/>
          <w:i w:val="0"/>
          <w:sz w:val="22"/>
        </w:rPr>
      </w:lvl>
    </w:lvlOverride>
    <w:lvlOverride w:ilvl="3">
      <w:lvl w:ilvl="3">
        <w:start w:val="1"/>
        <w:numFmt w:val="decimal"/>
        <w:lvlText w:val="%1.%2.%3.%4."/>
        <w:lvlJc w:val="left"/>
        <w:pPr>
          <w:tabs>
            <w:tab w:val="num" w:pos="2160"/>
          </w:tabs>
          <w:ind w:left="1428" w:hanging="357"/>
        </w:pPr>
        <w:rPr>
          <w:rFonts w:hint="default"/>
        </w:rPr>
      </w:lvl>
    </w:lvlOverride>
    <w:lvlOverride w:ilvl="4">
      <w:lvl w:ilvl="4">
        <w:start w:val="1"/>
        <w:numFmt w:val="decimal"/>
        <w:lvlText w:val="%1.%2.%3.%4.%5."/>
        <w:lvlJc w:val="left"/>
        <w:pPr>
          <w:tabs>
            <w:tab w:val="num" w:pos="2520"/>
          </w:tabs>
          <w:ind w:left="1785" w:hanging="357"/>
        </w:pPr>
        <w:rPr>
          <w:rFonts w:hint="default"/>
        </w:rPr>
      </w:lvl>
    </w:lvlOverride>
    <w:lvlOverride w:ilvl="5">
      <w:lvl w:ilvl="5">
        <w:start w:val="1"/>
        <w:numFmt w:val="decimal"/>
        <w:lvlText w:val="%1.%2.%3.%4.%5.%6."/>
        <w:lvlJc w:val="left"/>
        <w:pPr>
          <w:tabs>
            <w:tab w:val="num" w:pos="3240"/>
          </w:tabs>
          <w:ind w:left="2142" w:hanging="357"/>
        </w:pPr>
        <w:rPr>
          <w:rFonts w:hint="default"/>
        </w:rPr>
      </w:lvl>
    </w:lvlOverride>
    <w:lvlOverride w:ilvl="6">
      <w:lvl w:ilvl="6">
        <w:start w:val="1"/>
        <w:numFmt w:val="decimal"/>
        <w:lvlText w:val="%1.%2.%3.%4.%5.%6.%7."/>
        <w:lvlJc w:val="left"/>
        <w:pPr>
          <w:tabs>
            <w:tab w:val="num" w:pos="3600"/>
          </w:tabs>
          <w:ind w:left="2499" w:hanging="357"/>
        </w:pPr>
        <w:rPr>
          <w:rFonts w:hint="default"/>
        </w:rPr>
      </w:lvl>
    </w:lvlOverride>
    <w:lvlOverride w:ilvl="7">
      <w:lvl w:ilvl="7">
        <w:start w:val="1"/>
        <w:numFmt w:val="decimal"/>
        <w:lvlText w:val="%1.%2.%3.%4.%5.%6.%7.%8."/>
        <w:lvlJc w:val="left"/>
        <w:pPr>
          <w:tabs>
            <w:tab w:val="num" w:pos="4320"/>
          </w:tabs>
          <w:ind w:left="2856" w:hanging="357"/>
        </w:pPr>
        <w:rPr>
          <w:rFonts w:hint="default"/>
        </w:rPr>
      </w:lvl>
    </w:lvlOverride>
    <w:lvlOverride w:ilvl="8">
      <w:lvl w:ilvl="8">
        <w:start w:val="1"/>
        <w:numFmt w:val="decimal"/>
        <w:lvlText w:val="%1.%2.%3.%4.%5.%6.%7.%8.%9."/>
        <w:lvlJc w:val="left"/>
        <w:pPr>
          <w:tabs>
            <w:tab w:val="num" w:pos="5040"/>
          </w:tabs>
          <w:ind w:left="3213" w:hanging="357"/>
        </w:pPr>
        <w:rPr>
          <w:rFonts w:hint="default"/>
        </w:rPr>
      </w:lvl>
    </w:lvlOverride>
  </w:num>
  <w:num w:numId="42">
    <w:abstractNumId w:val="16"/>
    <w:lvlOverride w:ilvl="0">
      <w:lvl w:ilvl="0">
        <w:start w:val="1"/>
        <w:numFmt w:val="decimal"/>
        <w:pStyle w:val="ListNumber"/>
        <w:lvlText w:val="%1."/>
        <w:lvlJc w:val="left"/>
        <w:pPr>
          <w:ind w:left="357" w:hanging="357"/>
        </w:pPr>
        <w:rPr>
          <w:rFonts w:ascii="Arial" w:hAnsi="Arial" w:hint="default"/>
          <w:b w:val="0"/>
          <w:i w:val="0"/>
          <w:color w:val="000000"/>
          <w:sz w:val="22"/>
          <w:u w:val="none"/>
        </w:rPr>
      </w:lvl>
    </w:lvlOverride>
    <w:lvlOverride w:ilvl="1">
      <w:lvl w:ilvl="1">
        <w:start w:val="1"/>
        <w:numFmt w:val="lowerLetter"/>
        <w:pStyle w:val="ListNumber2"/>
        <w:lvlText w:val="%2)"/>
        <w:lvlJc w:val="left"/>
        <w:pPr>
          <w:ind w:left="714" w:hanging="357"/>
        </w:pPr>
        <w:rPr>
          <w:rFonts w:ascii="Arial" w:hAnsi="Arial" w:hint="default"/>
          <w:b w:val="0"/>
          <w:i w:val="0"/>
          <w:sz w:val="22"/>
        </w:rPr>
      </w:lvl>
    </w:lvlOverride>
    <w:lvlOverride w:ilvl="2">
      <w:lvl w:ilvl="2">
        <w:start w:val="1"/>
        <w:numFmt w:val="lowerRoman"/>
        <w:pStyle w:val="ListNumber3"/>
        <w:lvlText w:val="%3."/>
        <w:lvlJc w:val="left"/>
        <w:pPr>
          <w:ind w:left="1071" w:hanging="357"/>
        </w:pPr>
        <w:rPr>
          <w:rFonts w:ascii="Arial" w:hAnsi="Arial" w:hint="default"/>
          <w:b w:val="0"/>
          <w:i w:val="0"/>
          <w:sz w:val="22"/>
        </w:rPr>
      </w:lvl>
    </w:lvlOverride>
    <w:lvlOverride w:ilvl="3">
      <w:lvl w:ilvl="3">
        <w:start w:val="1"/>
        <w:numFmt w:val="decimal"/>
        <w:lvlText w:val="%1.%2.%3.%4."/>
        <w:lvlJc w:val="left"/>
        <w:pPr>
          <w:tabs>
            <w:tab w:val="num" w:pos="2160"/>
          </w:tabs>
          <w:ind w:left="1428" w:hanging="357"/>
        </w:pPr>
        <w:rPr>
          <w:rFonts w:hint="default"/>
        </w:rPr>
      </w:lvl>
    </w:lvlOverride>
    <w:lvlOverride w:ilvl="4">
      <w:lvl w:ilvl="4">
        <w:start w:val="1"/>
        <w:numFmt w:val="decimal"/>
        <w:lvlText w:val="%1.%2.%3.%4.%5."/>
        <w:lvlJc w:val="left"/>
        <w:pPr>
          <w:tabs>
            <w:tab w:val="num" w:pos="2520"/>
          </w:tabs>
          <w:ind w:left="1785" w:hanging="357"/>
        </w:pPr>
        <w:rPr>
          <w:rFonts w:hint="default"/>
        </w:rPr>
      </w:lvl>
    </w:lvlOverride>
    <w:lvlOverride w:ilvl="5">
      <w:lvl w:ilvl="5">
        <w:start w:val="1"/>
        <w:numFmt w:val="decimal"/>
        <w:lvlText w:val="%1.%2.%3.%4.%5.%6."/>
        <w:lvlJc w:val="left"/>
        <w:pPr>
          <w:tabs>
            <w:tab w:val="num" w:pos="3240"/>
          </w:tabs>
          <w:ind w:left="2142" w:hanging="357"/>
        </w:pPr>
        <w:rPr>
          <w:rFonts w:hint="default"/>
        </w:rPr>
      </w:lvl>
    </w:lvlOverride>
    <w:lvlOverride w:ilvl="6">
      <w:lvl w:ilvl="6">
        <w:start w:val="1"/>
        <w:numFmt w:val="decimal"/>
        <w:lvlText w:val="%1.%2.%3.%4.%5.%6.%7."/>
        <w:lvlJc w:val="left"/>
        <w:pPr>
          <w:tabs>
            <w:tab w:val="num" w:pos="3600"/>
          </w:tabs>
          <w:ind w:left="2499" w:hanging="357"/>
        </w:pPr>
        <w:rPr>
          <w:rFonts w:hint="default"/>
        </w:rPr>
      </w:lvl>
    </w:lvlOverride>
    <w:lvlOverride w:ilvl="7">
      <w:lvl w:ilvl="7">
        <w:start w:val="1"/>
        <w:numFmt w:val="decimal"/>
        <w:lvlText w:val="%1.%2.%3.%4.%5.%6.%7.%8."/>
        <w:lvlJc w:val="left"/>
        <w:pPr>
          <w:tabs>
            <w:tab w:val="num" w:pos="4320"/>
          </w:tabs>
          <w:ind w:left="2856" w:hanging="357"/>
        </w:pPr>
        <w:rPr>
          <w:rFonts w:hint="default"/>
        </w:rPr>
      </w:lvl>
    </w:lvlOverride>
    <w:lvlOverride w:ilvl="8">
      <w:lvl w:ilvl="8">
        <w:start w:val="1"/>
        <w:numFmt w:val="decimal"/>
        <w:lvlText w:val="%1.%2.%3.%4.%5.%6.%7.%8.%9."/>
        <w:lvlJc w:val="left"/>
        <w:pPr>
          <w:tabs>
            <w:tab w:val="num" w:pos="5040"/>
          </w:tabs>
          <w:ind w:left="3213" w:hanging="357"/>
        </w:pPr>
        <w:rPr>
          <w:rFonts w:hint="default"/>
        </w:rPr>
      </w:lvl>
    </w:lvlOverride>
  </w:num>
  <w:num w:numId="43">
    <w:abstractNumId w:val="16"/>
    <w:lvlOverride w:ilvl="0">
      <w:lvl w:ilvl="0">
        <w:start w:val="1"/>
        <w:numFmt w:val="decimal"/>
        <w:pStyle w:val="ListNumber"/>
        <w:lvlText w:val="%1."/>
        <w:lvlJc w:val="left"/>
        <w:pPr>
          <w:ind w:left="357" w:hanging="357"/>
        </w:pPr>
        <w:rPr>
          <w:rFonts w:ascii="Arial" w:hAnsi="Arial" w:hint="default"/>
          <w:b w:val="0"/>
          <w:i w:val="0"/>
          <w:color w:val="000000"/>
          <w:sz w:val="22"/>
          <w:u w:val="none"/>
        </w:rPr>
      </w:lvl>
    </w:lvlOverride>
    <w:lvlOverride w:ilvl="1">
      <w:lvl w:ilvl="1">
        <w:start w:val="1"/>
        <w:numFmt w:val="lowerLetter"/>
        <w:pStyle w:val="ListNumber2"/>
        <w:lvlText w:val="%2)"/>
        <w:lvlJc w:val="left"/>
        <w:pPr>
          <w:ind w:left="714" w:hanging="357"/>
        </w:pPr>
        <w:rPr>
          <w:rFonts w:ascii="Arial" w:hAnsi="Arial" w:hint="default"/>
          <w:b w:val="0"/>
          <w:i w:val="0"/>
          <w:sz w:val="22"/>
        </w:rPr>
      </w:lvl>
    </w:lvlOverride>
    <w:lvlOverride w:ilvl="2">
      <w:lvl w:ilvl="2">
        <w:start w:val="1"/>
        <w:numFmt w:val="lowerRoman"/>
        <w:pStyle w:val="ListNumber3"/>
        <w:lvlText w:val="%3."/>
        <w:lvlJc w:val="left"/>
        <w:pPr>
          <w:ind w:left="1071" w:hanging="357"/>
        </w:pPr>
        <w:rPr>
          <w:rFonts w:ascii="Arial" w:hAnsi="Arial" w:hint="default"/>
          <w:b w:val="0"/>
          <w:i w:val="0"/>
          <w:sz w:val="22"/>
        </w:rPr>
      </w:lvl>
    </w:lvlOverride>
    <w:lvlOverride w:ilvl="3">
      <w:lvl w:ilvl="3">
        <w:start w:val="1"/>
        <w:numFmt w:val="decimal"/>
        <w:lvlText w:val="%1.%2.%3.%4."/>
        <w:lvlJc w:val="left"/>
        <w:pPr>
          <w:tabs>
            <w:tab w:val="num" w:pos="2160"/>
          </w:tabs>
          <w:ind w:left="1428" w:hanging="357"/>
        </w:pPr>
        <w:rPr>
          <w:rFonts w:hint="default"/>
        </w:rPr>
      </w:lvl>
    </w:lvlOverride>
    <w:lvlOverride w:ilvl="4">
      <w:lvl w:ilvl="4">
        <w:start w:val="1"/>
        <w:numFmt w:val="decimal"/>
        <w:lvlText w:val="%1.%2.%3.%4.%5."/>
        <w:lvlJc w:val="left"/>
        <w:pPr>
          <w:tabs>
            <w:tab w:val="num" w:pos="2520"/>
          </w:tabs>
          <w:ind w:left="1785" w:hanging="357"/>
        </w:pPr>
        <w:rPr>
          <w:rFonts w:hint="default"/>
        </w:rPr>
      </w:lvl>
    </w:lvlOverride>
    <w:lvlOverride w:ilvl="5">
      <w:lvl w:ilvl="5">
        <w:start w:val="1"/>
        <w:numFmt w:val="decimal"/>
        <w:lvlText w:val="%1.%2.%3.%4.%5.%6."/>
        <w:lvlJc w:val="left"/>
        <w:pPr>
          <w:tabs>
            <w:tab w:val="num" w:pos="3240"/>
          </w:tabs>
          <w:ind w:left="2142" w:hanging="357"/>
        </w:pPr>
        <w:rPr>
          <w:rFonts w:hint="default"/>
        </w:rPr>
      </w:lvl>
    </w:lvlOverride>
    <w:lvlOverride w:ilvl="6">
      <w:lvl w:ilvl="6">
        <w:start w:val="1"/>
        <w:numFmt w:val="decimal"/>
        <w:lvlText w:val="%1.%2.%3.%4.%5.%6.%7."/>
        <w:lvlJc w:val="left"/>
        <w:pPr>
          <w:tabs>
            <w:tab w:val="num" w:pos="3600"/>
          </w:tabs>
          <w:ind w:left="2499" w:hanging="357"/>
        </w:pPr>
        <w:rPr>
          <w:rFonts w:hint="default"/>
        </w:rPr>
      </w:lvl>
    </w:lvlOverride>
    <w:lvlOverride w:ilvl="7">
      <w:lvl w:ilvl="7">
        <w:start w:val="1"/>
        <w:numFmt w:val="decimal"/>
        <w:lvlText w:val="%1.%2.%3.%4.%5.%6.%7.%8."/>
        <w:lvlJc w:val="left"/>
        <w:pPr>
          <w:tabs>
            <w:tab w:val="num" w:pos="4320"/>
          </w:tabs>
          <w:ind w:left="2856" w:hanging="357"/>
        </w:pPr>
        <w:rPr>
          <w:rFonts w:hint="default"/>
        </w:rPr>
      </w:lvl>
    </w:lvlOverride>
    <w:lvlOverride w:ilvl="8">
      <w:lvl w:ilvl="8">
        <w:start w:val="1"/>
        <w:numFmt w:val="decimal"/>
        <w:lvlText w:val="%1.%2.%3.%4.%5.%6.%7.%8.%9."/>
        <w:lvlJc w:val="left"/>
        <w:pPr>
          <w:tabs>
            <w:tab w:val="num" w:pos="5040"/>
          </w:tabs>
          <w:ind w:left="3213" w:hanging="357"/>
        </w:pPr>
        <w:rPr>
          <w:rFonts w:hint="default"/>
        </w:r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6"/>
  <w:drawingGridVerticalSpacing w:val="6"/>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4A4"/>
    <w:rsid w:val="00001B3A"/>
    <w:rsid w:val="00011714"/>
    <w:rsid w:val="0002207F"/>
    <w:rsid w:val="00022A49"/>
    <w:rsid w:val="00036B83"/>
    <w:rsid w:val="00036DB0"/>
    <w:rsid w:val="0004441E"/>
    <w:rsid w:val="00044F2A"/>
    <w:rsid w:val="000451D9"/>
    <w:rsid w:val="00046265"/>
    <w:rsid w:val="00046840"/>
    <w:rsid w:val="00047ED5"/>
    <w:rsid w:val="00055FB2"/>
    <w:rsid w:val="00060785"/>
    <w:rsid w:val="000665A5"/>
    <w:rsid w:val="00095ED2"/>
    <w:rsid w:val="00096107"/>
    <w:rsid w:val="00096FC2"/>
    <w:rsid w:val="000A6655"/>
    <w:rsid w:val="000C5154"/>
    <w:rsid w:val="000D353A"/>
    <w:rsid w:val="000E21C5"/>
    <w:rsid w:val="000E2F10"/>
    <w:rsid w:val="000E6B2B"/>
    <w:rsid w:val="000E738D"/>
    <w:rsid w:val="00100726"/>
    <w:rsid w:val="0011690C"/>
    <w:rsid w:val="00116A10"/>
    <w:rsid w:val="00121C59"/>
    <w:rsid w:val="00122D1C"/>
    <w:rsid w:val="00125AF8"/>
    <w:rsid w:val="00131D9D"/>
    <w:rsid w:val="00135EF5"/>
    <w:rsid w:val="00142C7B"/>
    <w:rsid w:val="0014394F"/>
    <w:rsid w:val="00150637"/>
    <w:rsid w:val="00170447"/>
    <w:rsid w:val="001859E0"/>
    <w:rsid w:val="00191962"/>
    <w:rsid w:val="00196302"/>
    <w:rsid w:val="001A3DD0"/>
    <w:rsid w:val="001A6D7B"/>
    <w:rsid w:val="001B1995"/>
    <w:rsid w:val="001B381C"/>
    <w:rsid w:val="001C4875"/>
    <w:rsid w:val="001D16DD"/>
    <w:rsid w:val="001D4371"/>
    <w:rsid w:val="001D4A17"/>
    <w:rsid w:val="001F0156"/>
    <w:rsid w:val="001F6EAB"/>
    <w:rsid w:val="002043BD"/>
    <w:rsid w:val="00231332"/>
    <w:rsid w:val="0023202B"/>
    <w:rsid w:val="0025719F"/>
    <w:rsid w:val="00262519"/>
    <w:rsid w:val="00266693"/>
    <w:rsid w:val="002673B6"/>
    <w:rsid w:val="00270CC3"/>
    <w:rsid w:val="00274DF6"/>
    <w:rsid w:val="002879BE"/>
    <w:rsid w:val="002A2C2D"/>
    <w:rsid w:val="002B3ACC"/>
    <w:rsid w:val="002B72FC"/>
    <w:rsid w:val="002C6D24"/>
    <w:rsid w:val="002D77F5"/>
    <w:rsid w:val="002F54B6"/>
    <w:rsid w:val="00301A7F"/>
    <w:rsid w:val="00322535"/>
    <w:rsid w:val="00332D20"/>
    <w:rsid w:val="00351EE2"/>
    <w:rsid w:val="00371A42"/>
    <w:rsid w:val="003756B5"/>
    <w:rsid w:val="00375790"/>
    <w:rsid w:val="00380268"/>
    <w:rsid w:val="00380949"/>
    <w:rsid w:val="0039400A"/>
    <w:rsid w:val="003B183E"/>
    <w:rsid w:val="003C4D3E"/>
    <w:rsid w:val="003D27B7"/>
    <w:rsid w:val="003E2BE0"/>
    <w:rsid w:val="003F733A"/>
    <w:rsid w:val="004077FD"/>
    <w:rsid w:val="004170E1"/>
    <w:rsid w:val="0042424F"/>
    <w:rsid w:val="00430E4E"/>
    <w:rsid w:val="00443D8F"/>
    <w:rsid w:val="00455DE7"/>
    <w:rsid w:val="0046302A"/>
    <w:rsid w:val="004633EB"/>
    <w:rsid w:val="00476E3D"/>
    <w:rsid w:val="004A0DEF"/>
    <w:rsid w:val="004A452F"/>
    <w:rsid w:val="004A5AA0"/>
    <w:rsid w:val="004B3764"/>
    <w:rsid w:val="004C59F1"/>
    <w:rsid w:val="004D30D6"/>
    <w:rsid w:val="004F2309"/>
    <w:rsid w:val="004F24B4"/>
    <w:rsid w:val="004F41DD"/>
    <w:rsid w:val="004F799E"/>
    <w:rsid w:val="00501458"/>
    <w:rsid w:val="005105E7"/>
    <w:rsid w:val="00524DFD"/>
    <w:rsid w:val="0052510B"/>
    <w:rsid w:val="00527915"/>
    <w:rsid w:val="005279C7"/>
    <w:rsid w:val="00542562"/>
    <w:rsid w:val="005435E4"/>
    <w:rsid w:val="005459E1"/>
    <w:rsid w:val="0054793D"/>
    <w:rsid w:val="005617A0"/>
    <w:rsid w:val="00562038"/>
    <w:rsid w:val="005630D6"/>
    <w:rsid w:val="0057083A"/>
    <w:rsid w:val="005753F6"/>
    <w:rsid w:val="005806CD"/>
    <w:rsid w:val="005A7E6A"/>
    <w:rsid w:val="005C0AF5"/>
    <w:rsid w:val="005D2263"/>
    <w:rsid w:val="005E2C23"/>
    <w:rsid w:val="005E5FAA"/>
    <w:rsid w:val="005E76A8"/>
    <w:rsid w:val="005F2277"/>
    <w:rsid w:val="00602D54"/>
    <w:rsid w:val="006052BB"/>
    <w:rsid w:val="0061765E"/>
    <w:rsid w:val="00625B56"/>
    <w:rsid w:val="00633365"/>
    <w:rsid w:val="00635029"/>
    <w:rsid w:val="006547A7"/>
    <w:rsid w:val="006669C4"/>
    <w:rsid w:val="006741DA"/>
    <w:rsid w:val="00685AEE"/>
    <w:rsid w:val="00692D4B"/>
    <w:rsid w:val="00696621"/>
    <w:rsid w:val="006A6639"/>
    <w:rsid w:val="006C36DB"/>
    <w:rsid w:val="006C6D67"/>
    <w:rsid w:val="006D3ED7"/>
    <w:rsid w:val="006E3BC3"/>
    <w:rsid w:val="006F1F36"/>
    <w:rsid w:val="006F6EF8"/>
    <w:rsid w:val="00706FD2"/>
    <w:rsid w:val="00711119"/>
    <w:rsid w:val="007252B9"/>
    <w:rsid w:val="00730B5A"/>
    <w:rsid w:val="0076294E"/>
    <w:rsid w:val="00772BFB"/>
    <w:rsid w:val="007869A1"/>
    <w:rsid w:val="007B37DD"/>
    <w:rsid w:val="007C5F4E"/>
    <w:rsid w:val="007C7F52"/>
    <w:rsid w:val="007D02FF"/>
    <w:rsid w:val="007D5BEC"/>
    <w:rsid w:val="00814B30"/>
    <w:rsid w:val="00814C86"/>
    <w:rsid w:val="00816C9C"/>
    <w:rsid w:val="00835B22"/>
    <w:rsid w:val="0086003C"/>
    <w:rsid w:val="0086056D"/>
    <w:rsid w:val="00860B7C"/>
    <w:rsid w:val="00862066"/>
    <w:rsid w:val="00877929"/>
    <w:rsid w:val="00880DF2"/>
    <w:rsid w:val="00894D88"/>
    <w:rsid w:val="00894DA7"/>
    <w:rsid w:val="008B3906"/>
    <w:rsid w:val="008D189F"/>
    <w:rsid w:val="008D21EA"/>
    <w:rsid w:val="008D252D"/>
    <w:rsid w:val="008D2F2A"/>
    <w:rsid w:val="008D6BDF"/>
    <w:rsid w:val="008D7527"/>
    <w:rsid w:val="008E0C43"/>
    <w:rsid w:val="008E72F4"/>
    <w:rsid w:val="0093069C"/>
    <w:rsid w:val="00943370"/>
    <w:rsid w:val="009454AA"/>
    <w:rsid w:val="00946C98"/>
    <w:rsid w:val="009533A0"/>
    <w:rsid w:val="0096735F"/>
    <w:rsid w:val="00967411"/>
    <w:rsid w:val="009759B7"/>
    <w:rsid w:val="00977180"/>
    <w:rsid w:val="0098049C"/>
    <w:rsid w:val="009865F8"/>
    <w:rsid w:val="00994736"/>
    <w:rsid w:val="009969D1"/>
    <w:rsid w:val="009C40A5"/>
    <w:rsid w:val="009D0157"/>
    <w:rsid w:val="009D0454"/>
    <w:rsid w:val="009D4FC8"/>
    <w:rsid w:val="009F1613"/>
    <w:rsid w:val="009F7766"/>
    <w:rsid w:val="00A0012D"/>
    <w:rsid w:val="00A1185D"/>
    <w:rsid w:val="00A13645"/>
    <w:rsid w:val="00A428AC"/>
    <w:rsid w:val="00A5131B"/>
    <w:rsid w:val="00A550A9"/>
    <w:rsid w:val="00A574DD"/>
    <w:rsid w:val="00A57C9F"/>
    <w:rsid w:val="00A657C2"/>
    <w:rsid w:val="00A65BA6"/>
    <w:rsid w:val="00A66E8F"/>
    <w:rsid w:val="00A7500C"/>
    <w:rsid w:val="00A814AF"/>
    <w:rsid w:val="00A828F0"/>
    <w:rsid w:val="00A95004"/>
    <w:rsid w:val="00A9512B"/>
    <w:rsid w:val="00A95355"/>
    <w:rsid w:val="00A96947"/>
    <w:rsid w:val="00AB4D8B"/>
    <w:rsid w:val="00AD0834"/>
    <w:rsid w:val="00AF4A0D"/>
    <w:rsid w:val="00B03BD7"/>
    <w:rsid w:val="00B1488D"/>
    <w:rsid w:val="00B20C6C"/>
    <w:rsid w:val="00B22F3D"/>
    <w:rsid w:val="00B2678F"/>
    <w:rsid w:val="00B403AD"/>
    <w:rsid w:val="00B446CF"/>
    <w:rsid w:val="00B53EF6"/>
    <w:rsid w:val="00B60C4C"/>
    <w:rsid w:val="00B673CD"/>
    <w:rsid w:val="00B84DB6"/>
    <w:rsid w:val="00B920DE"/>
    <w:rsid w:val="00BA4A2D"/>
    <w:rsid w:val="00BA4DAF"/>
    <w:rsid w:val="00BA7D4C"/>
    <w:rsid w:val="00BB14A4"/>
    <w:rsid w:val="00BC303F"/>
    <w:rsid w:val="00BC3EAD"/>
    <w:rsid w:val="00BE639E"/>
    <w:rsid w:val="00BE6A6B"/>
    <w:rsid w:val="00BF77C3"/>
    <w:rsid w:val="00C01E89"/>
    <w:rsid w:val="00C04351"/>
    <w:rsid w:val="00C11997"/>
    <w:rsid w:val="00C225B9"/>
    <w:rsid w:val="00C24234"/>
    <w:rsid w:val="00C2430D"/>
    <w:rsid w:val="00C44E9A"/>
    <w:rsid w:val="00C53111"/>
    <w:rsid w:val="00C55667"/>
    <w:rsid w:val="00C64680"/>
    <w:rsid w:val="00C7048D"/>
    <w:rsid w:val="00C837C3"/>
    <w:rsid w:val="00C844B1"/>
    <w:rsid w:val="00C87E8D"/>
    <w:rsid w:val="00C90AC1"/>
    <w:rsid w:val="00C93B9C"/>
    <w:rsid w:val="00C94D19"/>
    <w:rsid w:val="00CD5131"/>
    <w:rsid w:val="00D0057B"/>
    <w:rsid w:val="00D10BD3"/>
    <w:rsid w:val="00D24249"/>
    <w:rsid w:val="00D2425D"/>
    <w:rsid w:val="00D255BF"/>
    <w:rsid w:val="00D353D0"/>
    <w:rsid w:val="00D359CF"/>
    <w:rsid w:val="00D45535"/>
    <w:rsid w:val="00D53A76"/>
    <w:rsid w:val="00D53BE4"/>
    <w:rsid w:val="00D57961"/>
    <w:rsid w:val="00D60B9B"/>
    <w:rsid w:val="00D73B67"/>
    <w:rsid w:val="00D90AEE"/>
    <w:rsid w:val="00D94457"/>
    <w:rsid w:val="00DD5301"/>
    <w:rsid w:val="00E34CEA"/>
    <w:rsid w:val="00E447FC"/>
    <w:rsid w:val="00E53E3C"/>
    <w:rsid w:val="00E60A96"/>
    <w:rsid w:val="00E6734A"/>
    <w:rsid w:val="00E951EB"/>
    <w:rsid w:val="00EA6075"/>
    <w:rsid w:val="00EA78CC"/>
    <w:rsid w:val="00EC4B79"/>
    <w:rsid w:val="00ED3D13"/>
    <w:rsid w:val="00EE2126"/>
    <w:rsid w:val="00EE6B2C"/>
    <w:rsid w:val="00EF421E"/>
    <w:rsid w:val="00EF7C74"/>
    <w:rsid w:val="00F019A3"/>
    <w:rsid w:val="00F0334F"/>
    <w:rsid w:val="00F05192"/>
    <w:rsid w:val="00F1102D"/>
    <w:rsid w:val="00F238CD"/>
    <w:rsid w:val="00F30E8F"/>
    <w:rsid w:val="00F366A4"/>
    <w:rsid w:val="00F4732A"/>
    <w:rsid w:val="00F51095"/>
    <w:rsid w:val="00F53892"/>
    <w:rsid w:val="00F754F7"/>
    <w:rsid w:val="00F8638E"/>
    <w:rsid w:val="00F87665"/>
    <w:rsid w:val="00FA0D9D"/>
    <w:rsid w:val="00FA5F67"/>
    <w:rsid w:val="00FD10C3"/>
    <w:rsid w:val="00FD13E0"/>
    <w:rsid w:val="00FD1A9B"/>
    <w:rsid w:val="00FF244C"/>
    <w:rsid w:val="00FF5E0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4AB5B7"/>
  <w15:docId w15:val="{758EA56A-7611-400E-9505-756E0A7A3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uiPriority="2" w:qFormat="1"/>
    <w:lsdException w:name="heading 2" w:uiPriority="3" w:qFormat="1"/>
    <w:lsdException w:name="heading 3" w:uiPriority="4" w:qFormat="1"/>
    <w:lsdException w:name="heading 4" w:semiHidden="1" w:uiPriority="5" w:qFormat="1"/>
    <w:lsdException w:name="heading 5" w:semiHidden="1" w:unhideWhenUsed="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6" w:unhideWhenUsed="1" w:qFormat="1"/>
    <w:lsdException w:name="List Number" w:uiPriority="9" w:qFormat="1"/>
    <w:lsdException w:name="List 2" w:semiHidden="1" w:unhideWhenUsed="1"/>
    <w:lsdException w:name="List 3" w:semiHidden="1" w:unhideWhenUsed="1"/>
    <w:lsdException w:name="List 4" w:semiHidden="1"/>
    <w:lsdException w:name="List 5" w:semiHidden="1"/>
    <w:lsdException w:name="List Bullet 2" w:semiHidden="1" w:uiPriority="7" w:unhideWhenUsed="1" w:qFormat="1"/>
    <w:lsdException w:name="List Bullet 3" w:semiHidden="1" w:uiPriority="8" w:unhideWhenUsed="1" w:qFormat="1"/>
    <w:lsdException w:name="List Bullet 4" w:semiHidden="1" w:unhideWhenUsed="1"/>
    <w:lsdException w:name="List Bullet 5" w:semiHidden="1" w:unhideWhenUsed="1"/>
    <w:lsdException w:name="List Number 2" w:semiHidden="1" w:uiPriority="10" w:unhideWhenUsed="1" w:qFormat="1"/>
    <w:lsdException w:name="List Number 3" w:semiHidden="1" w:uiPriority="11" w:unhideWhenUsed="1" w:qFormat="1"/>
    <w:lsdException w:name="List Number 4" w:semiHidden="1" w:unhideWhenUsed="1"/>
    <w:lsdException w:name="List Number 5" w:semiHidden="1" w:unhideWhenUsed="1"/>
    <w:lsdException w:name="Title" w:uiPriority="13"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7" w:unhideWhenUsed="1" w:qFormat="1"/>
    <w:lsdException w:name="FollowedHyperlink" w:semiHidden="1" w:unhideWhenUsed="1"/>
    <w:lsdException w:name="Strong" w:semiHidden="1"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99"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53EF6"/>
    <w:pPr>
      <w:spacing w:line="276" w:lineRule="auto"/>
    </w:pPr>
    <w:rPr>
      <w:rFonts w:ascii="Arial" w:hAnsi="Arial"/>
      <w:sz w:val="22"/>
      <w:szCs w:val="22"/>
    </w:rPr>
  </w:style>
  <w:style w:type="paragraph" w:styleId="Heading1">
    <w:name w:val="heading 1"/>
    <w:basedOn w:val="Normal"/>
    <w:next w:val="Normal"/>
    <w:link w:val="Heading1Char"/>
    <w:uiPriority w:val="2"/>
    <w:qFormat/>
    <w:rsid w:val="00C53111"/>
    <w:pPr>
      <w:outlineLvl w:val="0"/>
    </w:pPr>
    <w:rPr>
      <w:rFonts w:ascii="Times New Roman" w:hAnsi="Times New Roman"/>
      <w:b/>
      <w:i/>
      <w:sz w:val="52"/>
      <w:szCs w:val="36"/>
    </w:rPr>
  </w:style>
  <w:style w:type="paragraph" w:styleId="Heading2">
    <w:name w:val="heading 2"/>
    <w:basedOn w:val="Tableheadings"/>
    <w:next w:val="Normal"/>
    <w:uiPriority w:val="3"/>
    <w:qFormat/>
    <w:rsid w:val="00DD5301"/>
    <w:pPr>
      <w:spacing w:before="360" w:after="220" w:line="240" w:lineRule="auto"/>
      <w:outlineLvl w:val="1"/>
    </w:pPr>
    <w:rPr>
      <w:color w:val="5F5F5F"/>
      <w:sz w:val="28"/>
    </w:rPr>
  </w:style>
  <w:style w:type="paragraph" w:styleId="Heading3">
    <w:name w:val="heading 3"/>
    <w:basedOn w:val="Normal"/>
    <w:next w:val="Normal"/>
    <w:link w:val="Heading3Char"/>
    <w:uiPriority w:val="4"/>
    <w:qFormat/>
    <w:rsid w:val="001F0156"/>
    <w:pPr>
      <w:spacing w:after="120" w:line="240" w:lineRule="auto"/>
      <w:outlineLvl w:val="2"/>
    </w:pPr>
    <w:rPr>
      <w:b/>
    </w:rPr>
  </w:style>
  <w:style w:type="paragraph" w:styleId="Heading4">
    <w:name w:val="heading 4"/>
    <w:basedOn w:val="Heading3"/>
    <w:next w:val="Normal"/>
    <w:link w:val="Heading4Char"/>
    <w:uiPriority w:val="5"/>
    <w:qFormat/>
    <w:rsid w:val="00C53111"/>
    <w:pPr>
      <w:outlineLvl w:val="3"/>
    </w:pPr>
    <w:rPr>
      <w:color w:val="5E5E5E"/>
    </w:rPr>
  </w:style>
  <w:style w:type="paragraph" w:styleId="Heading5">
    <w:name w:val="heading 5"/>
    <w:basedOn w:val="Normal"/>
    <w:next w:val="Normal"/>
    <w:link w:val="Heading5Char"/>
    <w:semiHidden/>
    <w:qFormat/>
    <w:rsid w:val="00C53111"/>
    <w:pPr>
      <w:keepNext/>
      <w:keepLines/>
      <w:spacing w:before="40"/>
      <w:outlineLvl w:val="4"/>
    </w:pPr>
    <w:rPr>
      <w:rFonts w:eastAsiaTheme="majorEastAsia" w:cstheme="majorBidi"/>
      <w:b/>
      <w:bCs/>
      <w:color w:val="5E5E5E"/>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3111"/>
    <w:pPr>
      <w:tabs>
        <w:tab w:val="center" w:pos="4153"/>
        <w:tab w:val="right" w:pos="8306"/>
      </w:tabs>
    </w:pPr>
    <w:rPr>
      <w:caps/>
      <w:sz w:val="16"/>
    </w:rPr>
  </w:style>
  <w:style w:type="numbering" w:customStyle="1" w:styleId="Bulletpoints">
    <w:name w:val="Bullet points"/>
    <w:rsid w:val="00C53111"/>
    <w:pPr>
      <w:numPr>
        <w:numId w:val="1"/>
      </w:numPr>
    </w:pPr>
  </w:style>
  <w:style w:type="paragraph" w:styleId="Footer">
    <w:name w:val="footer"/>
    <w:basedOn w:val="Normal"/>
    <w:link w:val="FooterChar"/>
    <w:semiHidden/>
    <w:rsid w:val="001F0156"/>
    <w:pPr>
      <w:tabs>
        <w:tab w:val="center" w:pos="4320"/>
        <w:tab w:val="right" w:pos="8640"/>
      </w:tabs>
      <w:spacing w:line="240" w:lineRule="auto"/>
    </w:pPr>
    <w:rPr>
      <w:color w:val="595959" w:themeColor="text1" w:themeTint="A6"/>
      <w:sz w:val="16"/>
    </w:rPr>
  </w:style>
  <w:style w:type="paragraph" w:styleId="BalloonText">
    <w:name w:val="Balloon Text"/>
    <w:basedOn w:val="Normal"/>
    <w:semiHidden/>
    <w:rsid w:val="00C53111"/>
    <w:rPr>
      <w:rFonts w:ascii="Tahoma" w:hAnsi="Tahoma" w:cs="Tahoma"/>
      <w:sz w:val="16"/>
      <w:szCs w:val="16"/>
    </w:rPr>
  </w:style>
  <w:style w:type="paragraph" w:customStyle="1" w:styleId="Tableheadings">
    <w:name w:val="Table headings"/>
    <w:basedOn w:val="Normal"/>
    <w:uiPriority w:val="12"/>
    <w:qFormat/>
    <w:rsid w:val="001F0156"/>
    <w:rPr>
      <w:rFonts w:ascii="Arial Bold" w:hAnsi="Arial Bold" w:cs="Arial"/>
      <w:b/>
      <w:caps/>
      <w:color w:val="595959" w:themeColor="text1" w:themeTint="A6"/>
    </w:rPr>
  </w:style>
  <w:style w:type="character" w:styleId="PageNumber">
    <w:name w:val="page number"/>
    <w:basedOn w:val="DefaultParagraphFont"/>
    <w:semiHidden/>
    <w:rsid w:val="00B53EF6"/>
    <w:rPr>
      <w:rFonts w:ascii="Arial Bold" w:hAnsi="Arial Bold"/>
      <w:b/>
      <w:bCs/>
      <w:color w:val="595959" w:themeColor="text1" w:themeTint="A6"/>
      <w:sz w:val="16"/>
    </w:rPr>
  </w:style>
  <w:style w:type="character" w:styleId="Hyperlink">
    <w:name w:val="Hyperlink"/>
    <w:basedOn w:val="DefaultParagraphFont"/>
    <w:uiPriority w:val="17"/>
    <w:qFormat/>
    <w:rsid w:val="00C53111"/>
    <w:rPr>
      <w:rFonts w:ascii="Arial" w:hAnsi="Arial"/>
      <w:color w:val="E30613" w:themeColor="background2"/>
      <w:sz w:val="22"/>
      <w:u w:val="none" w:color="CC0000"/>
    </w:rPr>
  </w:style>
  <w:style w:type="paragraph" w:styleId="ListNumber">
    <w:name w:val="List Number"/>
    <w:basedOn w:val="Normal"/>
    <w:uiPriority w:val="9"/>
    <w:qFormat/>
    <w:rsid w:val="00C53111"/>
    <w:pPr>
      <w:numPr>
        <w:numId w:val="4"/>
      </w:numPr>
    </w:pPr>
  </w:style>
  <w:style w:type="table" w:customStyle="1" w:styleId="Table">
    <w:name w:val="Table"/>
    <w:basedOn w:val="TableNormal"/>
    <w:rsid w:val="00C53111"/>
    <w:rPr>
      <w:rFonts w:ascii="Arial" w:hAnsi="Arial"/>
      <w:color w:val="000000"/>
    </w:rPr>
    <w:tblPr>
      <w:tblStyleRowBandSize w:val="1"/>
      <w:tblStyleColBandSize w:val="1"/>
      <w:tblInd w:w="57" w:type="dxa"/>
    </w:tblPr>
    <w:tcPr>
      <w:shd w:val="clear" w:color="auto" w:fill="FFFFFF"/>
      <w:tcMar>
        <w:top w:w="57" w:type="dxa"/>
        <w:left w:w="57" w:type="dxa"/>
        <w:bottom w:w="57" w:type="dxa"/>
        <w:right w:w="57" w:type="dxa"/>
      </w:tcMar>
    </w:tcPr>
    <w:tblStylePr w:type="firstRow">
      <w:pPr>
        <w:jc w:val="left"/>
      </w:pPr>
      <w:rPr>
        <w:rFonts w:ascii="Arial" w:hAnsi="Arial"/>
        <w:b/>
        <w:color w:val="FFFFFF"/>
        <w:sz w:val="20"/>
      </w:rPr>
      <w:tblPr/>
      <w:tcPr>
        <w:shd w:val="clear" w:color="auto" w:fill="808080"/>
        <w:vAlign w:val="center"/>
      </w:tcPr>
    </w:tblStylePr>
    <w:tblStylePr w:type="band1Horz">
      <w:rPr>
        <w:rFonts w:ascii="Arial" w:hAnsi="Arial"/>
        <w:sz w:val="20"/>
      </w:rPr>
    </w:tblStylePr>
    <w:tblStylePr w:type="band2Horz">
      <w:rPr>
        <w:rFonts w:ascii="Arial" w:hAnsi="Arial"/>
        <w:color w:val="auto"/>
        <w:sz w:val="20"/>
      </w:rPr>
      <w:tblPr/>
      <w:tcPr>
        <w:shd w:val="clear" w:color="auto" w:fill="E6E6E6"/>
      </w:tcPr>
    </w:tblStylePr>
  </w:style>
  <w:style w:type="paragraph" w:styleId="ListNumber2">
    <w:name w:val="List Number 2"/>
    <w:basedOn w:val="Normal"/>
    <w:uiPriority w:val="10"/>
    <w:qFormat/>
    <w:rsid w:val="00C53111"/>
    <w:pPr>
      <w:numPr>
        <w:ilvl w:val="1"/>
        <w:numId w:val="4"/>
      </w:numPr>
      <w:contextualSpacing/>
    </w:pPr>
  </w:style>
  <w:style w:type="paragraph" w:styleId="ListNumber3">
    <w:name w:val="List Number 3"/>
    <w:basedOn w:val="Normal"/>
    <w:uiPriority w:val="11"/>
    <w:qFormat/>
    <w:rsid w:val="00C53111"/>
    <w:pPr>
      <w:numPr>
        <w:ilvl w:val="2"/>
        <w:numId w:val="4"/>
      </w:numPr>
      <w:contextualSpacing/>
    </w:pPr>
  </w:style>
  <w:style w:type="paragraph" w:styleId="ListBullet">
    <w:name w:val="List Bullet"/>
    <w:basedOn w:val="Normal"/>
    <w:uiPriority w:val="6"/>
    <w:qFormat/>
    <w:rsid w:val="00C53111"/>
    <w:pPr>
      <w:numPr>
        <w:numId w:val="3"/>
      </w:numPr>
      <w:contextualSpacing/>
    </w:pPr>
  </w:style>
  <w:style w:type="paragraph" w:styleId="BodyText">
    <w:name w:val="Body Text"/>
    <w:basedOn w:val="Normal"/>
    <w:link w:val="BodyTextChar"/>
    <w:qFormat/>
    <w:rsid w:val="00C53111"/>
  </w:style>
  <w:style w:type="character" w:customStyle="1" w:styleId="BodyTextChar">
    <w:name w:val="Body Text Char"/>
    <w:basedOn w:val="DefaultParagraphFont"/>
    <w:link w:val="BodyText"/>
    <w:rsid w:val="0004441E"/>
    <w:rPr>
      <w:rFonts w:ascii="Arial" w:hAnsi="Arial"/>
      <w:sz w:val="22"/>
      <w:szCs w:val="22"/>
    </w:rPr>
  </w:style>
  <w:style w:type="paragraph" w:styleId="ListBullet2">
    <w:name w:val="List Bullet 2"/>
    <w:basedOn w:val="Normal"/>
    <w:uiPriority w:val="7"/>
    <w:qFormat/>
    <w:rsid w:val="00C53111"/>
    <w:pPr>
      <w:numPr>
        <w:ilvl w:val="1"/>
        <w:numId w:val="3"/>
      </w:numPr>
      <w:contextualSpacing/>
    </w:pPr>
  </w:style>
  <w:style w:type="table" w:styleId="TableGrid">
    <w:name w:val="Table Grid"/>
    <w:basedOn w:val="TableNormal"/>
    <w:rsid w:val="00C531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qFormat/>
    <w:rsid w:val="00B53EF6"/>
    <w:pPr>
      <w:keepNext/>
      <w:keepLines/>
      <w:outlineLvl w:val="9"/>
    </w:pPr>
    <w:rPr>
      <w:rFonts w:ascii="Arial Bold" w:eastAsiaTheme="majorEastAsia" w:hAnsi="Arial Bold" w:cstheme="majorBidi"/>
      <w:bCs/>
      <w:i w:val="0"/>
      <w:caps/>
      <w:color w:val="595959" w:themeColor="text1" w:themeTint="A6"/>
      <w:sz w:val="28"/>
      <w:szCs w:val="28"/>
      <w:lang w:val="en-US" w:eastAsia="ja-JP"/>
    </w:rPr>
  </w:style>
  <w:style w:type="paragraph" w:styleId="TOC1">
    <w:name w:val="toc 1"/>
    <w:basedOn w:val="Normal"/>
    <w:next w:val="Normal"/>
    <w:autoRedefine/>
    <w:uiPriority w:val="39"/>
    <w:semiHidden/>
    <w:rsid w:val="00C53111"/>
    <w:pPr>
      <w:spacing w:after="100"/>
    </w:pPr>
    <w:rPr>
      <w:caps/>
    </w:rPr>
  </w:style>
  <w:style w:type="paragraph" w:styleId="TOC2">
    <w:name w:val="toc 2"/>
    <w:basedOn w:val="Normal"/>
    <w:next w:val="Normal"/>
    <w:autoRedefine/>
    <w:uiPriority w:val="39"/>
    <w:semiHidden/>
    <w:rsid w:val="00C53111"/>
    <w:pPr>
      <w:tabs>
        <w:tab w:val="right" w:leader="dot" w:pos="9631"/>
      </w:tabs>
      <w:spacing w:after="100"/>
    </w:pPr>
  </w:style>
  <w:style w:type="table" w:customStyle="1" w:styleId="ICAEWtable">
    <w:name w:val="ICAEW table"/>
    <w:basedOn w:val="TableNormal"/>
    <w:rsid w:val="00A1185D"/>
    <w:rPr>
      <w:rFonts w:ascii="Arial" w:hAnsi="Arial"/>
      <w:color w:val="000000"/>
    </w:rPr>
    <w:tblPr>
      <w:tblStyleRowBandSize w:val="1"/>
      <w:tblStyleColBandSize w:val="1"/>
      <w:tblInd w:w="57" w:type="dxa"/>
      <w:tblBorders>
        <w:top w:val="single" w:sz="8" w:space="0" w:color="A4A29E"/>
        <w:left w:val="single" w:sz="8" w:space="0" w:color="A4A29E"/>
        <w:bottom w:val="single" w:sz="8" w:space="0" w:color="A4A29E"/>
        <w:right w:val="single" w:sz="8" w:space="0" w:color="A4A29E"/>
        <w:insideH w:val="single" w:sz="8" w:space="0" w:color="A4A29E"/>
        <w:insideV w:val="single" w:sz="8" w:space="0" w:color="A4A29E"/>
      </w:tblBorders>
    </w:tblPr>
    <w:tcPr>
      <w:shd w:val="clear" w:color="auto" w:fill="FFFFFF"/>
      <w:tcMar>
        <w:top w:w="57" w:type="dxa"/>
        <w:left w:w="57" w:type="dxa"/>
        <w:bottom w:w="57" w:type="dxa"/>
        <w:right w:w="57" w:type="dxa"/>
      </w:tcMar>
    </w:tcPr>
    <w:tblStylePr w:type="firstRow">
      <w:pPr>
        <w:jc w:val="left"/>
      </w:pPr>
      <w:rPr>
        <w:rFonts w:ascii="Arial" w:hAnsi="Arial"/>
        <w:b/>
        <w:color w:val="FFFFFF"/>
        <w:sz w:val="20"/>
      </w:rPr>
      <w:tblPr/>
      <w:tcPr>
        <w:tcBorders>
          <w:insideV w:val="single" w:sz="8" w:space="0" w:color="A4A29E"/>
        </w:tcBorders>
        <w:shd w:val="clear" w:color="auto" w:fill="808080"/>
      </w:tcPr>
    </w:tblStylePr>
    <w:tblStylePr w:type="band1Horz">
      <w:rPr>
        <w:rFonts w:ascii="Arial" w:hAnsi="Arial"/>
        <w:sz w:val="20"/>
      </w:rPr>
    </w:tblStylePr>
    <w:tblStylePr w:type="band2Horz">
      <w:rPr>
        <w:rFonts w:ascii="Arial" w:hAnsi="Arial"/>
        <w:color w:val="auto"/>
        <w:sz w:val="20"/>
      </w:rPr>
      <w:tblPr/>
      <w:tcPr>
        <w:shd w:val="clear" w:color="auto" w:fill="E6E6E6"/>
      </w:tcPr>
    </w:tblStylePr>
  </w:style>
  <w:style w:type="paragraph" w:styleId="Caption">
    <w:name w:val="caption"/>
    <w:basedOn w:val="Normal"/>
    <w:next w:val="Normal"/>
    <w:qFormat/>
    <w:rsid w:val="00C53111"/>
    <w:pPr>
      <w:spacing w:before="120" w:after="120"/>
    </w:pPr>
    <w:rPr>
      <w:b/>
      <w:bCs/>
      <w:sz w:val="20"/>
      <w:szCs w:val="24"/>
      <w:lang w:eastAsia="en-US"/>
    </w:rPr>
  </w:style>
  <w:style w:type="paragraph" w:customStyle="1" w:styleId="Appendix">
    <w:name w:val="Appendix"/>
    <w:basedOn w:val="Normal"/>
    <w:next w:val="BodyText"/>
    <w:uiPriority w:val="14"/>
    <w:qFormat/>
    <w:rsid w:val="001F0156"/>
    <w:pPr>
      <w:numPr>
        <w:numId w:val="2"/>
      </w:numPr>
      <w:outlineLvl w:val="0"/>
    </w:pPr>
    <w:rPr>
      <w:rFonts w:cs="Arial"/>
      <w:caps/>
      <w:color w:val="595959" w:themeColor="text1" w:themeTint="A6"/>
      <w:sz w:val="28"/>
    </w:rPr>
  </w:style>
  <w:style w:type="paragraph" w:styleId="Title">
    <w:name w:val="Title"/>
    <w:basedOn w:val="Heading1"/>
    <w:next w:val="Normal"/>
    <w:link w:val="TitleChar"/>
    <w:uiPriority w:val="13"/>
    <w:qFormat/>
    <w:rsid w:val="006F1F36"/>
    <w:pPr>
      <w:spacing w:before="640" w:after="520"/>
      <w:ind w:right="1276"/>
      <w:contextualSpacing/>
      <w:outlineLvl w:val="9"/>
    </w:pPr>
    <w:rPr>
      <w:rFonts w:eastAsiaTheme="majorEastAsia" w:cstheme="majorBidi"/>
      <w:spacing w:val="5"/>
      <w:kern w:val="28"/>
      <w:szCs w:val="52"/>
    </w:rPr>
  </w:style>
  <w:style w:type="character" w:customStyle="1" w:styleId="TitleChar">
    <w:name w:val="Title Char"/>
    <w:basedOn w:val="DefaultParagraphFont"/>
    <w:link w:val="Title"/>
    <w:uiPriority w:val="13"/>
    <w:rsid w:val="006F1F36"/>
    <w:rPr>
      <w:rFonts w:eastAsiaTheme="majorEastAsia" w:cstheme="majorBidi"/>
      <w:b/>
      <w:i/>
      <w:spacing w:val="5"/>
      <w:kern w:val="28"/>
      <w:sz w:val="52"/>
      <w:szCs w:val="52"/>
    </w:rPr>
  </w:style>
  <w:style w:type="paragraph" w:styleId="ListBullet3">
    <w:name w:val="List Bullet 3"/>
    <w:basedOn w:val="Normal"/>
    <w:uiPriority w:val="8"/>
    <w:qFormat/>
    <w:rsid w:val="00C53111"/>
    <w:pPr>
      <w:numPr>
        <w:ilvl w:val="2"/>
        <w:numId w:val="3"/>
      </w:numPr>
      <w:contextualSpacing/>
    </w:pPr>
    <w:rPr>
      <w:rFonts w:cs="Arial"/>
    </w:rPr>
  </w:style>
  <w:style w:type="paragraph" w:styleId="TOC3">
    <w:name w:val="toc 3"/>
    <w:basedOn w:val="Normal"/>
    <w:next w:val="Normal"/>
    <w:autoRedefine/>
    <w:uiPriority w:val="39"/>
    <w:semiHidden/>
    <w:rsid w:val="00C53111"/>
    <w:pPr>
      <w:spacing w:after="100"/>
      <w:ind w:left="440"/>
    </w:pPr>
  </w:style>
  <w:style w:type="paragraph" w:customStyle="1" w:styleId="Notes">
    <w:name w:val="Notes"/>
    <w:basedOn w:val="Normal"/>
    <w:uiPriority w:val="15"/>
    <w:qFormat/>
    <w:rsid w:val="006A6639"/>
    <w:rPr>
      <w:i/>
      <w:sz w:val="16"/>
    </w:rPr>
  </w:style>
  <w:style w:type="table" w:styleId="Table3Deffects1">
    <w:name w:val="Table 3D effects 1"/>
    <w:basedOn w:val="TableNormal"/>
    <w:rsid w:val="006A663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ICAEWShadedtable">
    <w:name w:val="ICAEW Shaded table"/>
    <w:basedOn w:val="TableNormal"/>
    <w:uiPriority w:val="99"/>
    <w:rsid w:val="009D0157"/>
    <w:rPr>
      <w:rFonts w:ascii="Arial" w:hAnsi="Arial"/>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108" w:type="dxa"/>
        <w:bottom w:w="108" w:type="dxa"/>
      </w:tblCellMar>
    </w:tblPr>
    <w:tcPr>
      <w:shd w:val="clear" w:color="auto" w:fill="C1C1C1"/>
    </w:tcPr>
  </w:style>
  <w:style w:type="character" w:customStyle="1" w:styleId="FooterChar">
    <w:name w:val="Footer Char"/>
    <w:basedOn w:val="DefaultParagraphFont"/>
    <w:link w:val="Footer"/>
    <w:semiHidden/>
    <w:rsid w:val="001F0156"/>
    <w:rPr>
      <w:rFonts w:ascii="Arial" w:hAnsi="Arial"/>
      <w:color w:val="595959" w:themeColor="text1" w:themeTint="A6"/>
      <w:sz w:val="16"/>
      <w:szCs w:val="22"/>
    </w:rPr>
  </w:style>
  <w:style w:type="character" w:customStyle="1" w:styleId="Heading4Char">
    <w:name w:val="Heading 4 Char"/>
    <w:basedOn w:val="DefaultParagraphFont"/>
    <w:link w:val="Heading4"/>
    <w:semiHidden/>
    <w:rsid w:val="0004441E"/>
    <w:rPr>
      <w:rFonts w:ascii="Arial" w:hAnsi="Arial"/>
      <w:b/>
      <w:color w:val="5E5E5E"/>
      <w:sz w:val="22"/>
      <w:szCs w:val="22"/>
    </w:rPr>
  </w:style>
  <w:style w:type="character" w:customStyle="1" w:styleId="Heading5Char">
    <w:name w:val="Heading 5 Char"/>
    <w:basedOn w:val="DefaultParagraphFont"/>
    <w:link w:val="Heading5"/>
    <w:semiHidden/>
    <w:rsid w:val="0004441E"/>
    <w:rPr>
      <w:rFonts w:ascii="Arial" w:eastAsiaTheme="majorEastAsia" w:hAnsi="Arial" w:cstheme="majorBidi"/>
      <w:b/>
      <w:bCs/>
      <w:color w:val="5E5E5E"/>
      <w:szCs w:val="22"/>
    </w:rPr>
  </w:style>
  <w:style w:type="character" w:customStyle="1" w:styleId="Heading1Char">
    <w:name w:val="Heading 1 Char"/>
    <w:basedOn w:val="DefaultParagraphFont"/>
    <w:link w:val="Heading1"/>
    <w:semiHidden/>
    <w:rsid w:val="0004441E"/>
    <w:rPr>
      <w:b/>
      <w:i/>
      <w:sz w:val="52"/>
      <w:szCs w:val="36"/>
    </w:rPr>
  </w:style>
  <w:style w:type="character" w:customStyle="1" w:styleId="Heading3Char">
    <w:name w:val="Heading 3 Char"/>
    <w:basedOn w:val="DefaultParagraphFont"/>
    <w:link w:val="Heading3"/>
    <w:uiPriority w:val="4"/>
    <w:rsid w:val="001F0156"/>
    <w:rPr>
      <w:rFonts w:ascii="Arial" w:hAnsi="Arial"/>
      <w:b/>
      <w:sz w:val="22"/>
      <w:szCs w:val="22"/>
    </w:rPr>
  </w:style>
  <w:style w:type="table" w:customStyle="1" w:styleId="ICAEWtable1">
    <w:name w:val="ICAEW table1"/>
    <w:basedOn w:val="TableNormal"/>
    <w:uiPriority w:val="99"/>
    <w:rsid w:val="00A1185D"/>
    <w:tblPr/>
  </w:style>
  <w:style w:type="paragraph" w:customStyle="1" w:styleId="Text">
    <w:name w:val="Text"/>
    <w:basedOn w:val="Normal"/>
    <w:rsid w:val="00150637"/>
    <w:pPr>
      <w:overflowPunct w:val="0"/>
      <w:autoSpaceDE w:val="0"/>
      <w:autoSpaceDN w:val="0"/>
      <w:adjustRightInd w:val="0"/>
      <w:spacing w:after="260" w:line="240" w:lineRule="auto"/>
      <w:jc w:val="both"/>
      <w:textAlignment w:val="baseline"/>
    </w:pPr>
    <w:rPr>
      <w:rFonts w:ascii="Times New Roman" w:hAnsi="Times New Roman"/>
      <w:szCs w:val="20"/>
      <w:lang w:eastAsia="en-US"/>
    </w:rPr>
  </w:style>
  <w:style w:type="paragraph" w:styleId="CommentText">
    <w:name w:val="annotation text"/>
    <w:basedOn w:val="Normal"/>
    <w:link w:val="CommentTextChar"/>
    <w:uiPriority w:val="99"/>
    <w:semiHidden/>
    <w:unhideWhenUsed/>
    <w:rsid w:val="00036DB0"/>
    <w:pPr>
      <w:spacing w:line="240" w:lineRule="auto"/>
    </w:pPr>
    <w:rPr>
      <w:rFonts w:eastAsiaTheme="minorHAnsi" w:cstheme="minorBidi"/>
      <w:sz w:val="20"/>
      <w:szCs w:val="20"/>
      <w:lang w:eastAsia="en-US"/>
    </w:rPr>
  </w:style>
  <w:style w:type="character" w:customStyle="1" w:styleId="CommentTextChar">
    <w:name w:val="Comment Text Char"/>
    <w:basedOn w:val="DefaultParagraphFont"/>
    <w:link w:val="CommentText"/>
    <w:uiPriority w:val="99"/>
    <w:semiHidden/>
    <w:rsid w:val="00036DB0"/>
    <w:rPr>
      <w:rFonts w:ascii="Arial" w:eastAsiaTheme="minorHAnsi" w:hAnsi="Arial" w:cstheme="minorBidi"/>
      <w:lang w:eastAsia="en-US"/>
    </w:rPr>
  </w:style>
  <w:style w:type="paragraph" w:styleId="ListParagraph">
    <w:name w:val="List Paragraph"/>
    <w:basedOn w:val="Normal"/>
    <w:uiPriority w:val="99"/>
    <w:qFormat/>
    <w:rsid w:val="00625B56"/>
    <w:pPr>
      <w:spacing w:line="240" w:lineRule="auto"/>
      <w:ind w:left="720"/>
    </w:pPr>
    <w:rPr>
      <w:rFonts w:ascii="Times New Roman" w:hAnsi="Times New Roman"/>
      <w:sz w:val="24"/>
      <w:szCs w:val="20"/>
      <w:lang w:eastAsia="en-US"/>
    </w:rPr>
  </w:style>
  <w:style w:type="character" w:styleId="CommentReference">
    <w:name w:val="annotation reference"/>
    <w:basedOn w:val="DefaultParagraphFont"/>
    <w:semiHidden/>
    <w:unhideWhenUsed/>
    <w:rsid w:val="008B3906"/>
    <w:rPr>
      <w:sz w:val="16"/>
      <w:szCs w:val="16"/>
    </w:rPr>
  </w:style>
  <w:style w:type="paragraph" w:styleId="CommentSubject">
    <w:name w:val="annotation subject"/>
    <w:basedOn w:val="CommentText"/>
    <w:next w:val="CommentText"/>
    <w:link w:val="CommentSubjectChar"/>
    <w:semiHidden/>
    <w:unhideWhenUsed/>
    <w:rsid w:val="008B3906"/>
    <w:rPr>
      <w:rFonts w:eastAsia="Times New Roman" w:cs="Times New Roman"/>
      <w:b/>
      <w:bCs/>
      <w:lang w:eastAsia="en-GB"/>
    </w:rPr>
  </w:style>
  <w:style w:type="character" w:customStyle="1" w:styleId="CommentSubjectChar">
    <w:name w:val="Comment Subject Char"/>
    <w:basedOn w:val="CommentTextChar"/>
    <w:link w:val="CommentSubject"/>
    <w:semiHidden/>
    <w:rsid w:val="008B3906"/>
    <w:rPr>
      <w:rFonts w:ascii="Arial" w:eastAsiaTheme="minorHAnsi" w:hAnsi="Arial" w:cstheme="minorBidi"/>
      <w:b/>
      <w:bCs/>
      <w:lang w:eastAsia="en-US"/>
    </w:rPr>
  </w:style>
  <w:style w:type="character" w:styleId="Emphasis">
    <w:name w:val="Emphasis"/>
    <w:basedOn w:val="DefaultParagraphFont"/>
    <w:uiPriority w:val="20"/>
    <w:qFormat/>
    <w:rsid w:val="00A951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83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corporate%20office%20templates\ICAEW\ICAEW_Blank.dotm" TargetMode="External"/></Relationships>
</file>

<file path=word/theme/theme1.xml><?xml version="1.0" encoding="utf-8"?>
<a:theme xmlns:a="http://schemas.openxmlformats.org/drawingml/2006/main" name="Office Theme">
  <a:themeElements>
    <a:clrScheme name="ICAEW Office">
      <a:dk1>
        <a:srgbClr val="000000"/>
      </a:dk1>
      <a:lt1>
        <a:srgbClr val="FFFFFF"/>
      </a:lt1>
      <a:dk2>
        <a:srgbClr val="706F6F"/>
      </a:dk2>
      <a:lt2>
        <a:srgbClr val="E30613"/>
      </a:lt2>
      <a:accent1>
        <a:srgbClr val="C6CA91"/>
      </a:accent1>
      <a:accent2>
        <a:srgbClr val="A7C8C4"/>
      </a:accent2>
      <a:accent3>
        <a:srgbClr val="B1CFDF"/>
      </a:accent3>
      <a:accent4>
        <a:srgbClr val="DDC7D4"/>
      </a:accent4>
      <a:accent5>
        <a:srgbClr val="F1C09D"/>
      </a:accent5>
      <a:accent6>
        <a:srgbClr val="FFE8B6"/>
      </a:accent6>
      <a:hlink>
        <a:srgbClr val="D0C7C4"/>
      </a:hlink>
      <a:folHlink>
        <a:srgbClr val="706F6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D4735-2435-409A-9BAD-789FF395D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ICAEW_Blank</Template>
  <TotalTime>0</TotalTime>
  <Pages>4</Pages>
  <Words>1759</Words>
  <Characters>10029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ICAEW Blank</vt:lpstr>
    </vt:vector>
  </TitlesOfParts>
  <Company>ICAEW</Company>
  <LinksUpToDate>false</LinksUpToDate>
  <CharactersWithSpaces>11765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ICAEW Blank</dc:title>
  <dc:creator>Michelle Ring</dc:creator>
  <cp:lastModifiedBy>Phil Armitage</cp:lastModifiedBy>
  <cp:revision>2</cp:revision>
  <cp:lastPrinted>2020-03-19T17:11:00Z</cp:lastPrinted>
  <dcterms:created xsi:type="dcterms:W3CDTF">2020-04-27T16:01:00Z</dcterms:created>
  <dcterms:modified xsi:type="dcterms:W3CDTF">2020-04-27T16:01:00Z</dcterms:modified>
</cp:coreProperties>
</file>